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20A2" w14:textId="51F76121"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64120">
        <w:rPr>
          <w:rFonts w:ascii="Arial" w:hAnsi="Arial" w:cs="Arial" w:hint="eastAsia"/>
          <w:b/>
          <w:bCs/>
          <w:sz w:val="28"/>
        </w:rPr>
        <w:t xml:space="preserve">Ad-Hoc </w:t>
      </w:r>
      <w:r w:rsidRPr="0052548E">
        <w:rPr>
          <w:rFonts w:ascii="Arial" w:hAnsi="Arial" w:cs="Arial"/>
          <w:b/>
          <w:bCs/>
          <w:sz w:val="28"/>
        </w:rPr>
        <w:t>Meeting</w:t>
      </w:r>
      <w:r>
        <w:rPr>
          <w:rFonts w:ascii="Arial" w:hAnsi="Arial" w:cs="Arial"/>
          <w:b/>
          <w:bCs/>
          <w:sz w:val="28"/>
        </w:rPr>
        <w:t xml:space="preserve"> </w:t>
      </w:r>
      <w:r w:rsidR="00764120">
        <w:rPr>
          <w:rFonts w:ascii="Arial" w:hAnsi="Arial" w:cs="Arial"/>
          <w:b/>
          <w:bCs/>
          <w:sz w:val="28"/>
        </w:rPr>
        <w:t>1901</w:t>
      </w:r>
      <w:r w:rsidR="00904EBD">
        <w:rPr>
          <w:rFonts w:ascii="Arial" w:hAnsi="Arial" w:cs="Arial" w:hint="eastAsia"/>
          <w:b/>
          <w:bCs/>
          <w:sz w:val="28"/>
        </w:rPr>
        <w:t xml:space="preserve">                                  </w:t>
      </w:r>
      <w:r w:rsidR="00C81455" w:rsidRPr="00C81455">
        <w:rPr>
          <w:rFonts w:ascii="Arial" w:hAnsi="Arial" w:cs="Arial"/>
          <w:b/>
          <w:bCs/>
          <w:sz w:val="28"/>
        </w:rPr>
        <w:t>R1-1</w:t>
      </w:r>
      <w:r w:rsidR="00764120">
        <w:rPr>
          <w:rFonts w:ascii="Arial" w:hAnsi="Arial" w:cs="Arial"/>
          <w:b/>
          <w:bCs/>
          <w:sz w:val="28"/>
        </w:rPr>
        <w:t>9</w:t>
      </w:r>
      <w:r w:rsidR="00817E7B" w:rsidRPr="00817E7B">
        <w:rPr>
          <w:rFonts w:ascii="Arial" w:hAnsi="Arial" w:cs="Arial"/>
          <w:b/>
          <w:bCs/>
          <w:sz w:val="28"/>
        </w:rPr>
        <w:t>00951</w:t>
      </w:r>
    </w:p>
    <w:p w14:paraId="1F172407" w14:textId="3858284D" w:rsidR="00764120" w:rsidRPr="009513AC" w:rsidRDefault="003A4A4F" w:rsidP="00764120">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Taipei, </w:t>
      </w:r>
      <w:r w:rsidR="00764120">
        <w:rPr>
          <w:rFonts w:ascii="Arial" w:eastAsia="ＭＳ 明朝" w:hAnsi="Arial" w:cs="Arial"/>
          <w:b/>
          <w:bCs/>
          <w:sz w:val="28"/>
        </w:rPr>
        <w:t>21</w:t>
      </w:r>
      <w:r w:rsidR="00764120" w:rsidRPr="002826AF">
        <w:rPr>
          <w:rFonts w:ascii="Arial" w:eastAsia="ＭＳ 明朝" w:hAnsi="Arial" w:cs="Arial"/>
          <w:b/>
          <w:bCs/>
          <w:sz w:val="28"/>
          <w:vertAlign w:val="superscript"/>
        </w:rPr>
        <w:t>st</w:t>
      </w:r>
      <w:r w:rsidR="00764120">
        <w:rPr>
          <w:rFonts w:ascii="Arial" w:eastAsia="ＭＳ 明朝" w:hAnsi="Arial" w:cs="Arial"/>
          <w:b/>
          <w:bCs/>
          <w:sz w:val="28"/>
        </w:rPr>
        <w:t xml:space="preserve"> – 25</w:t>
      </w:r>
      <w:r w:rsidR="00764120" w:rsidRPr="002826AF">
        <w:rPr>
          <w:rFonts w:ascii="Arial" w:eastAsia="ＭＳ 明朝" w:hAnsi="Arial" w:cs="Arial"/>
          <w:b/>
          <w:bCs/>
          <w:sz w:val="28"/>
          <w:vertAlign w:val="superscript"/>
        </w:rPr>
        <w:t>th</w:t>
      </w:r>
      <w:r w:rsidR="00764120">
        <w:rPr>
          <w:rFonts w:ascii="Arial" w:eastAsia="ＭＳ 明朝" w:hAnsi="Arial" w:cs="Arial"/>
          <w:b/>
          <w:bCs/>
          <w:sz w:val="28"/>
        </w:rPr>
        <w:t xml:space="preserve"> January,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9526B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CB0874" w:rsidRPr="00CB0874">
        <w:rPr>
          <w:sz w:val="24"/>
          <w:lang w:val="en-US" w:eastAsia="ja-JP"/>
        </w:rPr>
        <w:t>DL signals and channels for NR-U</w:t>
      </w:r>
    </w:p>
    <w:p w14:paraId="33948831" w14:textId="7BAA51D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CB0874">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4C8AE2D8"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764120">
        <w:rPr>
          <w:rFonts w:eastAsia="ＭＳ 明朝" w:hint="eastAsia"/>
          <w:sz w:val="22"/>
          <w:szCs w:val="22"/>
          <w:lang w:val="en-US"/>
        </w:rPr>
        <w:t>#82</w:t>
      </w:r>
      <w:r w:rsidR="00A97218">
        <w:rPr>
          <w:rFonts w:eastAsia="ＭＳ 明朝" w:hint="eastAsia"/>
          <w:sz w:val="22"/>
          <w:szCs w:val="22"/>
          <w:lang w:val="en-US"/>
        </w:rPr>
        <w:t xml:space="preserve"> meeting, </w:t>
      </w:r>
      <w:r w:rsidR="00764120">
        <w:rPr>
          <w:rFonts w:eastAsia="ＭＳ 明朝"/>
          <w:sz w:val="22"/>
          <w:szCs w:val="22"/>
          <w:lang w:val="en-US"/>
        </w:rPr>
        <w:t xml:space="preserve">the new WI on </w:t>
      </w:r>
      <w:r w:rsidR="00484F06">
        <w:rPr>
          <w:rFonts w:eastAsia="ＭＳ 明朝"/>
          <w:sz w:val="22"/>
          <w:szCs w:val="22"/>
          <w:lang w:val="en-US"/>
        </w:rPr>
        <w:t>NR-based access to unlicensed spectrum</w:t>
      </w:r>
      <w:r w:rsidR="00764120">
        <w:rPr>
          <w:rFonts w:eastAsia="ＭＳ 明朝"/>
          <w:sz w:val="22"/>
          <w:szCs w:val="22"/>
          <w:lang w:val="en-US"/>
        </w:rPr>
        <w:t xml:space="preserve"> (</w:t>
      </w:r>
      <w:r w:rsidR="00484F06">
        <w:rPr>
          <w:rFonts w:eastAsia="ＭＳ 明朝"/>
          <w:sz w:val="22"/>
          <w:szCs w:val="22"/>
          <w:lang w:val="en-US"/>
        </w:rPr>
        <w:t>NR-U</w:t>
      </w:r>
      <w:r w:rsidR="00764120">
        <w:rPr>
          <w:rFonts w:eastAsia="ＭＳ 明朝"/>
          <w:sz w:val="22"/>
          <w:szCs w:val="22"/>
          <w:lang w:val="en-US"/>
        </w:rPr>
        <w:t>) was approved</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The objectives of the WI include following RAN1 works</w:t>
      </w:r>
      <w:r w:rsidR="00484F06">
        <w:rPr>
          <w:rFonts w:eastAsia="ＭＳ 明朝"/>
          <w:sz w:val="22"/>
          <w:szCs w:val="22"/>
          <w:lang w:val="en-US"/>
        </w:rPr>
        <w:t xml:space="preserve"> regarding physical layer aspects</w:t>
      </w:r>
      <w:r w:rsidR="00764120">
        <w:rPr>
          <w:rFonts w:eastAsia="ＭＳ 明朝"/>
          <w:sz w:val="22"/>
          <w:szCs w:val="22"/>
          <w:lang w:val="en-US"/>
        </w:rPr>
        <w:t>.</w:t>
      </w:r>
    </w:p>
    <w:tbl>
      <w:tblPr>
        <w:tblStyle w:val="afb"/>
        <w:tblW w:w="0" w:type="auto"/>
        <w:tblLook w:val="04A0" w:firstRow="1" w:lastRow="0" w:firstColumn="1" w:lastColumn="0" w:noHBand="0" w:noVBand="1"/>
      </w:tblPr>
      <w:tblGrid>
        <w:gridCol w:w="9962"/>
      </w:tblGrid>
      <w:tr w:rsidR="00764120" w14:paraId="7FCA0205" w14:textId="77777777" w:rsidTr="00764120">
        <w:tc>
          <w:tcPr>
            <w:tcW w:w="9962" w:type="dxa"/>
          </w:tcPr>
          <w:p w14:paraId="4FB07C99" w14:textId="77777777" w:rsidR="00484F06" w:rsidRPr="00484F06" w:rsidRDefault="00484F06" w:rsidP="00484F06">
            <w:pPr>
              <w:spacing w:before="180"/>
              <w:ind w:left="576" w:hanging="288"/>
              <w:rPr>
                <w:rFonts w:eastAsia="游明朝"/>
                <w:sz w:val="20"/>
              </w:rPr>
            </w:pPr>
            <w:r w:rsidRPr="00484F06">
              <w:rPr>
                <w:rFonts w:eastAsia="游明朝" w:hint="eastAsia"/>
                <w:sz w:val="20"/>
              </w:rPr>
              <w:t>-</w:t>
            </w:r>
            <w:r w:rsidRPr="00484F06">
              <w:rPr>
                <w:rFonts w:eastAsia="游明朝" w:hint="eastAsia"/>
                <w:sz w:val="20"/>
              </w:rPr>
              <w:tab/>
              <w:t>Physical layer aspects</w:t>
            </w:r>
            <w:r w:rsidRPr="00484F06">
              <w:rPr>
                <w:rFonts w:eastAsia="游明朝"/>
                <w:sz w:val="20"/>
              </w:rPr>
              <w:t xml:space="preserve"> including [RAN1]</w:t>
            </w:r>
            <w:r w:rsidRPr="00484F06">
              <w:rPr>
                <w:rFonts w:eastAsia="游明朝" w:hint="eastAsia"/>
                <w:sz w:val="20"/>
              </w:rPr>
              <w:t>:</w:t>
            </w:r>
          </w:p>
          <w:p w14:paraId="40A8CBC7" w14:textId="77777777" w:rsidR="00484F06" w:rsidRPr="00484F06" w:rsidRDefault="00484F06" w:rsidP="00484F06">
            <w:pPr>
              <w:ind w:left="851" w:hanging="284"/>
              <w:rPr>
                <w:rFonts w:eastAsia="游明朝"/>
                <w:sz w:val="20"/>
              </w:rPr>
            </w:pPr>
            <w:r w:rsidRPr="00484F06">
              <w:rPr>
                <w:rFonts w:eastAsia="游明朝" w:hint="eastAsia"/>
                <w:sz w:val="20"/>
              </w:rPr>
              <w:t>-</w:t>
            </w:r>
            <w:r w:rsidRPr="00484F06">
              <w:rPr>
                <w:rFonts w:eastAsia="游明朝" w:hint="eastAsia"/>
                <w:sz w:val="20"/>
              </w:rPr>
              <w:tab/>
            </w:r>
            <w:r w:rsidRPr="00484F06">
              <w:rPr>
                <w:rFonts w:eastAsia="游明朝"/>
                <w:sz w:val="20"/>
              </w:rPr>
              <w:t>Frame structure including single and multiple DL to UL and UL to DL switching points within a shared COT with associated identified LBT requirements (TR Section 7.2.1.3.1).</w:t>
            </w:r>
          </w:p>
          <w:p w14:paraId="269E7519"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7FF17D3"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Subcarrier spacing for control and data channels supporting 15kHz, 30kHz, and 60kHz (air-interface perspective; optionality to be discussed separately).</w:t>
            </w:r>
          </w:p>
          <w:p w14:paraId="0041C808"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76A38E3B"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B945788" w14:textId="7AACE6C3"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PRACH including possible extension of PRACH format(s) in line with agreements during the SI phase (TR 38.889, Section 7.2.1.2) to support minimum bandwidth requirement given by regulation. Determine the applicability of Rel-15 NR formats to NR-U operation.</w:t>
            </w:r>
            <w:r>
              <w:rPr>
                <w:rFonts w:eastAsia="游明朝"/>
                <w:sz w:val="20"/>
              </w:rPr>
              <w:t xml:space="preserve"> </w:t>
            </w:r>
            <w:r w:rsidRPr="00484F06">
              <w:rPr>
                <w:rFonts w:eastAsia="游明朝"/>
                <w:sz w:val="20"/>
              </w:rPr>
              <w:t>RAN1 should decide whether 60 kHz subcarrier spacing for PRACH is supported, based on a unified design with 15 kHz and 30 kHz PRACH for meeting occupied channel bandwidth (OCB) requirements.</w:t>
            </w:r>
          </w:p>
          <w:p w14:paraId="04EEEC6E" w14:textId="6E8C5D2F"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5CF0DA5A"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1EF596D9"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SRS including the introduction of additional flexibility in configuring/triggering SRS in line with agreements during the study phase.</w:t>
            </w:r>
          </w:p>
          <w:p w14:paraId="4EA8C8BD"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For DL data channel, support of multiple PDSCH starting positions.</w:t>
            </w:r>
          </w:p>
          <w:p w14:paraId="3C29E68F" w14:textId="77777777" w:rsidR="00484F06" w:rsidRPr="00484F06" w:rsidRDefault="00484F06" w:rsidP="00484F06">
            <w:pPr>
              <w:ind w:left="851" w:hanging="284"/>
              <w:rPr>
                <w:rFonts w:eastAsia="游明朝"/>
                <w:sz w:val="20"/>
              </w:rPr>
            </w:pPr>
            <w:r w:rsidRPr="00484F06">
              <w:rPr>
                <w:rFonts w:eastAsia="游明朝"/>
                <w:sz w:val="20"/>
              </w:rPr>
              <w:lastRenderedPageBreak/>
              <w:t>-</w:t>
            </w:r>
            <w:r w:rsidRPr="00484F06">
              <w:rPr>
                <w:rFonts w:eastAsia="游明朝"/>
                <w:sz w:val="20"/>
              </w:rPr>
              <w:tab/>
              <w:t xml:space="preserve">Mechanism to detect a gNB’s transmission burst in line with </w:t>
            </w:r>
            <w:bookmarkStart w:id="2" w:name="_Hlk532422148"/>
            <w:r w:rsidRPr="00484F06">
              <w:rPr>
                <w:rFonts w:eastAsia="游明朝"/>
                <w:sz w:val="20"/>
              </w:rPr>
              <w:t>the TR 38.889, Section 7.2.1.2</w:t>
            </w:r>
            <w:bookmarkEnd w:id="2"/>
            <w:r w:rsidRPr="00484F06">
              <w:rPr>
                <w:rFonts w:eastAsia="游明朝"/>
                <w:sz w:val="20"/>
              </w:rPr>
              <w:t xml:space="preserve"> related to UE power consumption.</w:t>
            </w:r>
          </w:p>
          <w:p w14:paraId="607EE953" w14:textId="4F5E5EE0" w:rsidR="00764120"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116AE16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CB0874">
        <w:rPr>
          <w:rFonts w:eastAsia="ＭＳ 明朝"/>
          <w:sz w:val="22"/>
          <w:szCs w:val="22"/>
          <w:lang w:val="en-US"/>
        </w:rPr>
        <w:t>DL</w:t>
      </w:r>
      <w:r w:rsidR="00484F06">
        <w:rPr>
          <w:rFonts w:eastAsia="ＭＳ 明朝"/>
          <w:sz w:val="22"/>
          <w:szCs w:val="22"/>
          <w:lang w:val="en-US"/>
        </w:rPr>
        <w:t xml:space="preserve"> signals and channels for NR-U, including</w:t>
      </w:r>
      <w:r w:rsidR="00BE79F6" w:rsidRPr="00BE79F6">
        <w:t xml:space="preserve"> </w:t>
      </w:r>
      <w:r w:rsidR="00BE79F6" w:rsidRPr="00BE79F6">
        <w:rPr>
          <w:rFonts w:eastAsia="ＭＳ 明朝"/>
          <w:sz w:val="22"/>
          <w:szCs w:val="22"/>
          <w:lang w:val="en-US"/>
        </w:rPr>
        <w:t>PDSCH transmission at the beginning of DL transmission burst</w:t>
      </w:r>
      <w:r w:rsidR="00BE79F6">
        <w:rPr>
          <w:rFonts w:eastAsia="ＭＳ 明朝"/>
          <w:sz w:val="22"/>
          <w:szCs w:val="22"/>
          <w:lang w:val="en-US"/>
        </w:rPr>
        <w:t xml:space="preserve"> and i</w:t>
      </w:r>
      <w:r w:rsidR="00BE79F6" w:rsidRPr="00BE79F6">
        <w:rPr>
          <w:rFonts w:eastAsia="ＭＳ 明朝"/>
          <w:sz w:val="22"/>
          <w:szCs w:val="22"/>
          <w:lang w:val="en-US"/>
        </w:rPr>
        <w:t>nitial signal for detection of COT</w:t>
      </w:r>
      <w:r w:rsidR="001012F3" w:rsidRPr="001012F3">
        <w:rPr>
          <w:rFonts w:eastAsia="ＭＳ 明朝" w:hint="eastAsia"/>
          <w:sz w:val="22"/>
          <w:szCs w:val="22"/>
          <w:lang w:val="en-US"/>
        </w:rPr>
        <w:t xml:space="preserve">. </w:t>
      </w:r>
    </w:p>
    <w:p w14:paraId="0DDCE2F2" w14:textId="270ED61D" w:rsidR="009517C5" w:rsidRPr="009517C5" w:rsidRDefault="00E903A9" w:rsidP="00E903A9">
      <w:pPr>
        <w:pStyle w:val="1"/>
        <w:numPr>
          <w:ilvl w:val="0"/>
          <w:numId w:val="6"/>
        </w:numPr>
        <w:spacing w:before="180" w:after="120"/>
        <w:rPr>
          <w:rFonts w:eastAsia="ＭＳ 明朝"/>
          <w:b/>
          <w:bCs/>
          <w:szCs w:val="24"/>
          <w:lang w:val="en-US"/>
        </w:rPr>
      </w:pPr>
      <w:r w:rsidRPr="00E903A9">
        <w:rPr>
          <w:rFonts w:eastAsia="ＭＳ 明朝"/>
          <w:b/>
          <w:bCs/>
          <w:szCs w:val="24"/>
          <w:lang w:val="en-US"/>
        </w:rPr>
        <w:t>PDSCH transmission at the beginning of DL transmission burst</w:t>
      </w:r>
    </w:p>
    <w:p w14:paraId="4632555E" w14:textId="3ED62D7E"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sidR="00E903A9" w:rsidRPr="00E903A9">
        <w:rPr>
          <w:sz w:val="22"/>
          <w:szCs w:val="22"/>
          <w:lang w:val="en-US"/>
        </w:rPr>
        <w:t>PDSCH transmission at the beginning of DL transmission burst</w:t>
      </w:r>
      <w:r>
        <w:rPr>
          <w:sz w:val="22"/>
          <w:szCs w:val="22"/>
          <w:lang w:val="en-US"/>
        </w:rPr>
        <w:t xml:space="preserve"> </w:t>
      </w:r>
      <w:r w:rsidR="00BB00D9">
        <w:rPr>
          <w:sz w:val="22"/>
          <w:szCs w:val="22"/>
          <w:lang w:val="en-US"/>
        </w:rPr>
        <w:t xml:space="preserve">had been discussed and following </w:t>
      </w:r>
      <w:r>
        <w:rPr>
          <w:sz w:val="22"/>
          <w:szCs w:val="22"/>
          <w:lang w:val="en-US"/>
        </w:rPr>
        <w:t>is captured in the TR38.889</w:t>
      </w:r>
      <w:r w:rsidR="00BB00D9">
        <w:rPr>
          <w:sz w:val="22"/>
          <w:szCs w:val="22"/>
          <w:lang w:val="en-US"/>
        </w:rPr>
        <w:t xml:space="preserve"> [2].</w:t>
      </w:r>
    </w:p>
    <w:tbl>
      <w:tblPr>
        <w:tblStyle w:val="afb"/>
        <w:tblW w:w="0" w:type="auto"/>
        <w:tblLook w:val="04A0" w:firstRow="1" w:lastRow="0" w:firstColumn="1" w:lastColumn="0" w:noHBand="0" w:noVBand="1"/>
      </w:tblPr>
      <w:tblGrid>
        <w:gridCol w:w="9962"/>
      </w:tblGrid>
      <w:tr w:rsidR="00BB00D9" w14:paraId="31B50C5D" w14:textId="77777777" w:rsidTr="00BB00D9">
        <w:tc>
          <w:tcPr>
            <w:tcW w:w="9962" w:type="dxa"/>
          </w:tcPr>
          <w:p w14:paraId="4FB271DB" w14:textId="77777777" w:rsidR="00016AFA" w:rsidRPr="00016AFA" w:rsidRDefault="00016AFA" w:rsidP="00016AFA">
            <w:pPr>
              <w:rPr>
                <w:sz w:val="20"/>
                <w:lang w:eastAsia="x-none"/>
              </w:rPr>
            </w:pPr>
            <w:r w:rsidRPr="00016AFA">
              <w:rPr>
                <w:sz w:val="20"/>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0BC6C66A" w14:textId="77777777" w:rsidR="00016AFA" w:rsidRPr="00016AFA" w:rsidRDefault="00016AFA" w:rsidP="00016AFA">
            <w:pPr>
              <w:rPr>
                <w:sz w:val="20"/>
                <w:lang w:eastAsia="x-none"/>
              </w:rPr>
            </w:pPr>
            <w:r w:rsidRPr="00016AFA">
              <w:rPr>
                <w:sz w:val="20"/>
                <w:lang w:eastAsia="x-none"/>
              </w:rPr>
              <w:t>The following options have been identified as possible candidates for PDSCH transmission in the partial slot at least for the first PDSCH(s) transmitted in the DL transmission burst. The options are not mutually exclusive.</w:t>
            </w:r>
          </w:p>
          <w:p w14:paraId="63B67A8A" w14:textId="77777777" w:rsidR="00016AFA" w:rsidRPr="00016AFA" w:rsidRDefault="00016AFA" w:rsidP="00016AFA">
            <w:pPr>
              <w:pStyle w:val="B1"/>
              <w:rPr>
                <w:sz w:val="20"/>
              </w:rPr>
            </w:pPr>
            <w:r w:rsidRPr="00016AFA">
              <w:rPr>
                <w:sz w:val="20"/>
              </w:rPr>
              <w:t>-</w:t>
            </w:r>
            <w:r w:rsidRPr="00016AFA">
              <w:rPr>
                <w:sz w:val="20"/>
              </w:rPr>
              <w:tab/>
              <w:t>Option 1: PDSCH(s) as in Rel-15 NR</w:t>
            </w:r>
          </w:p>
          <w:p w14:paraId="6A87FC83" w14:textId="77777777" w:rsidR="00016AFA" w:rsidRPr="00016AFA" w:rsidRDefault="00016AFA" w:rsidP="00016AFA">
            <w:pPr>
              <w:pStyle w:val="B1"/>
              <w:rPr>
                <w:sz w:val="20"/>
              </w:rPr>
            </w:pPr>
            <w:r w:rsidRPr="00016AFA">
              <w:rPr>
                <w:sz w:val="20"/>
              </w:rPr>
              <w:t>-</w:t>
            </w:r>
            <w:r w:rsidRPr="00016AFA">
              <w:rPr>
                <w:sz w:val="20"/>
              </w:rPr>
              <w:tab/>
              <w:t>Option 2: Punctured PDSCH depending on LBT outcome</w:t>
            </w:r>
          </w:p>
          <w:p w14:paraId="7DEF1B82" w14:textId="77777777" w:rsidR="00016AFA" w:rsidRPr="00016AFA" w:rsidRDefault="00016AFA" w:rsidP="00016AFA">
            <w:pPr>
              <w:pStyle w:val="B1"/>
              <w:rPr>
                <w:sz w:val="20"/>
              </w:rPr>
            </w:pPr>
            <w:r w:rsidRPr="00016AFA">
              <w:rPr>
                <w:sz w:val="20"/>
              </w:rPr>
              <w:t>-</w:t>
            </w:r>
            <w:r w:rsidRPr="00016AFA">
              <w:rPr>
                <w:sz w:val="20"/>
              </w:rPr>
              <w:tab/>
              <w:t>Option 3: PDSCH mapping type B with durations other than 2/4/7 symbols</w:t>
            </w:r>
          </w:p>
          <w:p w14:paraId="58FF35F9" w14:textId="77777777" w:rsidR="00016AFA" w:rsidRPr="00016AFA" w:rsidRDefault="00016AFA" w:rsidP="00016AFA">
            <w:pPr>
              <w:pStyle w:val="B1"/>
              <w:rPr>
                <w:sz w:val="20"/>
              </w:rPr>
            </w:pPr>
            <w:r w:rsidRPr="00016AFA">
              <w:rPr>
                <w:sz w:val="20"/>
              </w:rPr>
              <w:t>-</w:t>
            </w:r>
            <w:r w:rsidRPr="00016AFA">
              <w:rPr>
                <w:sz w:val="20"/>
              </w:rPr>
              <w:tab/>
              <w:t>Option 4: PDSCH across slot boundary</w:t>
            </w:r>
          </w:p>
          <w:p w14:paraId="33F3F970" w14:textId="453A06D5" w:rsidR="00BB00D9" w:rsidRPr="00016AFA" w:rsidRDefault="00016AFA" w:rsidP="00BB00D9">
            <w:r w:rsidRPr="00016AFA">
              <w:rPr>
                <w:sz w:val="20"/>
              </w:rPr>
              <w:t>In addition to the functionalities provided by DCI format 2_0 in Rel-15 NR, indication of the COT structure in the time domain has been identified as being beneficial.</w:t>
            </w:r>
          </w:p>
        </w:tc>
      </w:tr>
    </w:tbl>
    <w:p w14:paraId="1BF53B96" w14:textId="2E4B52BB" w:rsidR="004D0495" w:rsidRDefault="004D0495" w:rsidP="00DD78BE">
      <w:pPr>
        <w:spacing w:afterLines="50" w:after="120"/>
        <w:rPr>
          <w:sz w:val="22"/>
          <w:szCs w:val="22"/>
          <w:lang w:val="en-US"/>
        </w:rPr>
      </w:pPr>
    </w:p>
    <w:p w14:paraId="749F968B" w14:textId="2ECD6746" w:rsidR="00E903A9" w:rsidRPr="00427617" w:rsidRDefault="00C10D6F" w:rsidP="00DD78BE">
      <w:pPr>
        <w:spacing w:after="50"/>
        <w:rPr>
          <w:sz w:val="22"/>
          <w:szCs w:val="22"/>
          <w:lang w:val="en-US"/>
        </w:rPr>
      </w:pPr>
      <w:r>
        <w:rPr>
          <w:sz w:val="22"/>
          <w:szCs w:val="22"/>
          <w:lang w:val="en-US"/>
        </w:rPr>
        <w:t xml:space="preserve">As </w:t>
      </w:r>
      <w:r w:rsidR="009D35FF">
        <w:rPr>
          <w:sz w:val="22"/>
          <w:szCs w:val="22"/>
          <w:lang w:val="en-US"/>
        </w:rPr>
        <w:t xml:space="preserve">mentioned </w:t>
      </w:r>
      <w:r>
        <w:rPr>
          <w:sz w:val="22"/>
          <w:szCs w:val="22"/>
          <w:lang w:val="en-US"/>
        </w:rPr>
        <w:t xml:space="preserve">in </w:t>
      </w:r>
      <w:r w:rsidR="00E903A9">
        <w:rPr>
          <w:sz w:val="22"/>
          <w:szCs w:val="22"/>
          <w:lang w:val="en-US"/>
        </w:rPr>
        <w:t>the TR, i</w:t>
      </w:r>
      <w:r w:rsidR="00E903A9" w:rsidRPr="001E75E0">
        <w:rPr>
          <w:sz w:val="22"/>
          <w:szCs w:val="22"/>
          <w:lang w:val="en-US"/>
        </w:rPr>
        <w:t>t has been identified to be beneficial for the NR-U design to not require the gNB to change a pre-determined TBS for a PDSCH transmission depending on the LBT outcome</w:t>
      </w:r>
      <w:r w:rsidR="00D569E6">
        <w:rPr>
          <w:sz w:val="22"/>
          <w:szCs w:val="22"/>
          <w:lang w:val="en-US"/>
        </w:rPr>
        <w:t>. F</w:t>
      </w:r>
      <w:r w:rsidR="00E903A9" w:rsidRPr="00427617">
        <w:rPr>
          <w:sz w:val="22"/>
          <w:szCs w:val="22"/>
          <w:lang w:val="en-US"/>
        </w:rPr>
        <w:t xml:space="preserve">ollowing options have been identified as possible candidates for PDSCH transmission in the partial slot at least for the first PDSCH(s) transmitted in the DL transmission burst. </w:t>
      </w:r>
    </w:p>
    <w:p w14:paraId="295F35C7" w14:textId="77777777" w:rsidR="00E903A9" w:rsidRPr="00427617" w:rsidRDefault="00E903A9" w:rsidP="00DD78BE">
      <w:pPr>
        <w:spacing w:after="50"/>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1: PDSCH(s) as in Rel-15 NR</w:t>
      </w:r>
    </w:p>
    <w:p w14:paraId="449EE0B2" w14:textId="77777777" w:rsidR="00E903A9" w:rsidRPr="00427617" w:rsidRDefault="00E903A9" w:rsidP="00DD78BE">
      <w:pPr>
        <w:spacing w:after="50"/>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2: Punctured PDSCH depending on LBT outcome</w:t>
      </w:r>
    </w:p>
    <w:p w14:paraId="1E1ED87E" w14:textId="77777777" w:rsidR="00E903A9" w:rsidRPr="00427617" w:rsidRDefault="00E903A9" w:rsidP="00DD78BE">
      <w:pPr>
        <w:spacing w:after="50"/>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3: PDSCH mapping type B with durations other than 2/4/7 symbols</w:t>
      </w:r>
    </w:p>
    <w:p w14:paraId="20642CB9" w14:textId="77777777" w:rsidR="00E903A9" w:rsidRDefault="00E903A9" w:rsidP="00DD78BE">
      <w:pPr>
        <w:spacing w:after="50"/>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4: PDSCH across slot boundary</w:t>
      </w:r>
    </w:p>
    <w:p w14:paraId="3E146B9B" w14:textId="77777777" w:rsidR="00E903A9" w:rsidRDefault="00E903A9" w:rsidP="00DD78BE">
      <w:pPr>
        <w:spacing w:after="50"/>
        <w:ind w:leftChars="236" w:left="566"/>
        <w:rPr>
          <w:sz w:val="22"/>
          <w:szCs w:val="22"/>
          <w:lang w:val="en-US"/>
        </w:rPr>
      </w:pPr>
    </w:p>
    <w:p w14:paraId="11A3003B" w14:textId="6FABC4B0" w:rsidR="00D50F0E" w:rsidRPr="00B3190E" w:rsidRDefault="00D50F0E" w:rsidP="00DD78BE">
      <w:pPr>
        <w:spacing w:after="50"/>
        <w:rPr>
          <w:sz w:val="22"/>
          <w:szCs w:val="22"/>
          <w:lang w:val="en-US"/>
        </w:rPr>
      </w:pPr>
      <w:r>
        <w:rPr>
          <w:rFonts w:hint="eastAsia"/>
          <w:sz w:val="22"/>
          <w:szCs w:val="22"/>
          <w:lang w:val="en-US"/>
        </w:rPr>
        <w:t>Option 1 can reduce specification impact</w:t>
      </w:r>
      <w:r w:rsidR="008708BF">
        <w:rPr>
          <w:sz w:val="22"/>
          <w:szCs w:val="22"/>
          <w:lang w:val="en-US"/>
        </w:rPr>
        <w:t>,</w:t>
      </w:r>
      <w:r>
        <w:rPr>
          <w:rFonts w:hint="eastAsia"/>
          <w:sz w:val="22"/>
          <w:szCs w:val="22"/>
          <w:lang w:val="en-US"/>
        </w:rPr>
        <w:t xml:space="preserve"> but the </w:t>
      </w:r>
      <w:r>
        <w:rPr>
          <w:sz w:val="22"/>
          <w:szCs w:val="22"/>
          <w:lang w:val="en-US"/>
        </w:rPr>
        <w:t xml:space="preserve">possible </w:t>
      </w:r>
      <w:r w:rsidR="008708BF">
        <w:rPr>
          <w:sz w:val="22"/>
          <w:szCs w:val="22"/>
          <w:lang w:val="en-US"/>
        </w:rPr>
        <w:t xml:space="preserve">PDSCH </w:t>
      </w:r>
      <w:r>
        <w:rPr>
          <w:rFonts w:hint="eastAsia"/>
          <w:sz w:val="22"/>
          <w:szCs w:val="22"/>
          <w:lang w:val="en-US"/>
        </w:rPr>
        <w:t>starting points are limited</w:t>
      </w:r>
      <w:r w:rsidR="008708BF">
        <w:rPr>
          <w:sz w:val="22"/>
          <w:szCs w:val="22"/>
          <w:lang w:val="en-US"/>
        </w:rPr>
        <w:t>. In addition, if one or multiple small size TBs are prepared for multiple PDSCH starting points, overhead becomes relatively high</w:t>
      </w:r>
      <w:r>
        <w:rPr>
          <w:rFonts w:hint="eastAsia"/>
          <w:sz w:val="22"/>
          <w:szCs w:val="22"/>
          <w:lang w:val="en-US"/>
        </w:rPr>
        <w:t xml:space="preserve">. </w:t>
      </w:r>
      <w:r>
        <w:rPr>
          <w:sz w:val="22"/>
          <w:szCs w:val="22"/>
          <w:lang w:val="en-US"/>
        </w:rPr>
        <w:t>Option 2 can also reduce specification impact</w:t>
      </w:r>
      <w:r w:rsidR="008708BF">
        <w:rPr>
          <w:sz w:val="22"/>
          <w:szCs w:val="22"/>
          <w:lang w:val="en-US"/>
        </w:rPr>
        <w:t>,</w:t>
      </w:r>
      <w:r>
        <w:rPr>
          <w:sz w:val="22"/>
          <w:szCs w:val="22"/>
          <w:lang w:val="en-US"/>
        </w:rPr>
        <w:t xml:space="preserve"> but re-transmission of the punctured PDSCH would be needed in most cases and it is not efficient. In option 3, the starting p</w:t>
      </w:r>
      <w:r w:rsidR="005F6D5E">
        <w:rPr>
          <w:sz w:val="22"/>
          <w:szCs w:val="22"/>
          <w:lang w:val="en-US"/>
        </w:rPr>
        <w:t>o</w:t>
      </w:r>
      <w:r>
        <w:rPr>
          <w:sz w:val="22"/>
          <w:szCs w:val="22"/>
          <w:lang w:val="en-US"/>
        </w:rPr>
        <w:t xml:space="preserve">int resolution goes finer </w:t>
      </w:r>
      <w:r w:rsidR="008708BF">
        <w:rPr>
          <w:sz w:val="22"/>
          <w:szCs w:val="22"/>
          <w:lang w:val="en-US"/>
        </w:rPr>
        <w:t xml:space="preserve">compared with option 1, </w:t>
      </w:r>
      <w:r>
        <w:rPr>
          <w:sz w:val="22"/>
          <w:szCs w:val="22"/>
          <w:lang w:val="en-US"/>
        </w:rPr>
        <w:t xml:space="preserve">but it needs some additional specification and the gain seems </w:t>
      </w:r>
      <w:r w:rsidR="005F6D5E">
        <w:rPr>
          <w:sz w:val="22"/>
          <w:szCs w:val="22"/>
          <w:lang w:val="en-US"/>
        </w:rPr>
        <w:t>to be limited</w:t>
      </w:r>
      <w:r>
        <w:rPr>
          <w:sz w:val="22"/>
          <w:szCs w:val="22"/>
          <w:lang w:val="en-US"/>
        </w:rPr>
        <w:t xml:space="preserve">. Option 4 can </w:t>
      </w:r>
      <w:r w:rsidR="008708BF">
        <w:rPr>
          <w:sz w:val="22"/>
          <w:szCs w:val="22"/>
          <w:lang w:val="en-US"/>
        </w:rPr>
        <w:t xml:space="preserve">facilitate flexible </w:t>
      </w:r>
      <w:r w:rsidR="00B3190E">
        <w:rPr>
          <w:sz w:val="22"/>
          <w:szCs w:val="22"/>
          <w:lang w:val="en-US"/>
        </w:rPr>
        <w:t xml:space="preserve">PDSCH </w:t>
      </w:r>
      <w:r w:rsidR="008708BF">
        <w:rPr>
          <w:sz w:val="22"/>
          <w:szCs w:val="22"/>
          <w:lang w:val="en-US"/>
        </w:rPr>
        <w:t>starting points with small overhead,</w:t>
      </w:r>
      <w:r w:rsidR="00B3190E">
        <w:rPr>
          <w:sz w:val="22"/>
          <w:szCs w:val="22"/>
          <w:lang w:val="en-US"/>
        </w:rPr>
        <w:t xml:space="preserve"> but the specification impact </w:t>
      </w:r>
      <w:r w:rsidR="008708BF">
        <w:rPr>
          <w:sz w:val="22"/>
          <w:szCs w:val="22"/>
          <w:lang w:val="en-US"/>
        </w:rPr>
        <w:t>would be</w:t>
      </w:r>
      <w:r w:rsidR="00B3190E">
        <w:rPr>
          <w:sz w:val="22"/>
          <w:szCs w:val="22"/>
          <w:lang w:val="en-US"/>
        </w:rPr>
        <w:t xml:space="preserve"> large compared with other options.</w:t>
      </w:r>
    </w:p>
    <w:p w14:paraId="20378834" w14:textId="3EFCD9A7" w:rsidR="008B72DB" w:rsidRDefault="004349D6" w:rsidP="00DD78BE">
      <w:pPr>
        <w:spacing w:after="50"/>
        <w:rPr>
          <w:sz w:val="22"/>
          <w:szCs w:val="22"/>
          <w:lang w:val="en-US"/>
        </w:rPr>
      </w:pPr>
      <w:r>
        <w:rPr>
          <w:sz w:val="22"/>
          <w:szCs w:val="22"/>
          <w:lang w:val="en-US"/>
        </w:rPr>
        <w:t>A</w:t>
      </w:r>
      <w:r w:rsidR="009921EA">
        <w:rPr>
          <w:sz w:val="22"/>
          <w:szCs w:val="22"/>
          <w:lang w:val="en-US"/>
        </w:rPr>
        <w:t xml:space="preserve">lthough the </w:t>
      </w:r>
      <w:r w:rsidR="00FA6BF3">
        <w:rPr>
          <w:sz w:val="22"/>
          <w:szCs w:val="22"/>
          <w:lang w:val="en-US"/>
        </w:rPr>
        <w:t xml:space="preserve">working time </w:t>
      </w:r>
      <w:r w:rsidR="009921EA">
        <w:rPr>
          <w:sz w:val="22"/>
          <w:szCs w:val="22"/>
          <w:lang w:val="en-US"/>
        </w:rPr>
        <w:t xml:space="preserve">for NR-U in Rel-16 </w:t>
      </w:r>
      <w:r w:rsidR="00FA6BF3">
        <w:rPr>
          <w:sz w:val="22"/>
          <w:szCs w:val="22"/>
          <w:lang w:val="en-US"/>
        </w:rPr>
        <w:t>is limited</w:t>
      </w:r>
      <w:r w:rsidR="009921EA">
        <w:rPr>
          <w:sz w:val="22"/>
          <w:szCs w:val="22"/>
          <w:lang w:val="en-US"/>
        </w:rPr>
        <w:t>,</w:t>
      </w:r>
      <w:r w:rsidR="00FA6BF3">
        <w:rPr>
          <w:sz w:val="22"/>
          <w:szCs w:val="22"/>
          <w:lang w:val="en-US"/>
        </w:rPr>
        <w:t xml:space="preserve"> RAN1 has a lot of feature</w:t>
      </w:r>
      <w:r w:rsidR="009921EA">
        <w:rPr>
          <w:sz w:val="22"/>
          <w:szCs w:val="22"/>
          <w:lang w:val="en-US"/>
        </w:rPr>
        <w:t xml:space="preserve">s that need </w:t>
      </w:r>
      <w:r w:rsidR="00FA6BF3">
        <w:rPr>
          <w:sz w:val="22"/>
          <w:szCs w:val="22"/>
          <w:lang w:val="en-US"/>
        </w:rPr>
        <w:t xml:space="preserve">to </w:t>
      </w:r>
      <w:r w:rsidR="009921EA">
        <w:rPr>
          <w:sz w:val="22"/>
          <w:szCs w:val="22"/>
          <w:lang w:val="en-US"/>
        </w:rPr>
        <w:t xml:space="preserve">be </w:t>
      </w:r>
      <w:r w:rsidR="00FA6BF3">
        <w:rPr>
          <w:sz w:val="22"/>
          <w:szCs w:val="22"/>
          <w:lang w:val="en-US"/>
        </w:rPr>
        <w:t>specif</w:t>
      </w:r>
      <w:r w:rsidR="009921EA">
        <w:rPr>
          <w:sz w:val="22"/>
          <w:szCs w:val="22"/>
          <w:lang w:val="en-US"/>
        </w:rPr>
        <w:t>ied</w:t>
      </w:r>
      <w:r w:rsidR="00FA6BF3">
        <w:rPr>
          <w:sz w:val="22"/>
          <w:szCs w:val="22"/>
          <w:lang w:val="en-US"/>
        </w:rPr>
        <w:t xml:space="preserve"> </w:t>
      </w:r>
      <w:r w:rsidR="009921EA">
        <w:rPr>
          <w:sz w:val="22"/>
          <w:szCs w:val="22"/>
          <w:lang w:val="en-US"/>
        </w:rPr>
        <w:t>to operate</w:t>
      </w:r>
      <w:r w:rsidR="00FA6BF3">
        <w:rPr>
          <w:sz w:val="22"/>
          <w:szCs w:val="22"/>
          <w:lang w:val="en-US"/>
        </w:rPr>
        <w:t xml:space="preserve"> NR-U. </w:t>
      </w:r>
      <w:r w:rsidR="009921EA">
        <w:rPr>
          <w:sz w:val="22"/>
          <w:szCs w:val="22"/>
          <w:lang w:val="en-US"/>
        </w:rPr>
        <w:t xml:space="preserve">Options 2/3/4 are just optimizations to reduce the overhead compared with option 1. </w:t>
      </w:r>
      <w:r w:rsidR="00FA6BF3">
        <w:rPr>
          <w:sz w:val="22"/>
          <w:szCs w:val="22"/>
          <w:lang w:val="en-US"/>
        </w:rPr>
        <w:t>Therefore, we propose option 1 is enough to support on this feature.</w:t>
      </w:r>
    </w:p>
    <w:p w14:paraId="563D011F" w14:textId="609D4F99" w:rsidR="00E903A9" w:rsidRPr="008D4091" w:rsidRDefault="00E903A9" w:rsidP="00DD78BE">
      <w:pPr>
        <w:spacing w:before="120" w:after="50"/>
        <w:rPr>
          <w:rFonts w:eastAsia="Batang"/>
          <w:b/>
          <w:sz w:val="22"/>
          <w:szCs w:val="22"/>
          <w:lang w:eastAsia="ko-KR"/>
        </w:rPr>
      </w:pPr>
      <w:r w:rsidRPr="008D4091">
        <w:rPr>
          <w:rFonts w:eastAsia="Batang"/>
          <w:b/>
          <w:sz w:val="22"/>
          <w:szCs w:val="22"/>
          <w:lang w:eastAsia="ko-KR"/>
        </w:rPr>
        <w:t xml:space="preserve">Proposal </w:t>
      </w:r>
      <w:r>
        <w:rPr>
          <w:rFonts w:eastAsia="Batang"/>
          <w:b/>
          <w:sz w:val="22"/>
          <w:szCs w:val="22"/>
          <w:lang w:eastAsia="ko-KR"/>
        </w:rPr>
        <w:t xml:space="preserve">1: </w:t>
      </w:r>
      <w:r w:rsidRPr="0070436C">
        <w:rPr>
          <w:rFonts w:eastAsiaTheme="minorEastAsia"/>
          <w:b/>
          <w:sz w:val="22"/>
          <w:szCs w:val="22"/>
        </w:rPr>
        <w:t>PDSCH</w:t>
      </w:r>
      <w:r w:rsidR="00FA6BF3" w:rsidRPr="00FA6BF3">
        <w:rPr>
          <w:rFonts w:eastAsiaTheme="minorEastAsia"/>
          <w:b/>
          <w:sz w:val="22"/>
          <w:szCs w:val="22"/>
        </w:rPr>
        <w:t>(s) as in Rel-15 NR</w:t>
      </w:r>
      <w:r w:rsidRPr="0070436C">
        <w:rPr>
          <w:rFonts w:eastAsiaTheme="minorEastAsia"/>
          <w:b/>
          <w:sz w:val="22"/>
          <w:szCs w:val="22"/>
        </w:rPr>
        <w:t xml:space="preserve"> is transmitted at the beginning of DL transmission burst</w:t>
      </w:r>
      <w:r>
        <w:rPr>
          <w:rFonts w:eastAsiaTheme="minorEastAsia"/>
          <w:b/>
          <w:sz w:val="22"/>
          <w:szCs w:val="22"/>
        </w:rPr>
        <w:t>.</w:t>
      </w:r>
    </w:p>
    <w:p w14:paraId="51BCFFDC" w14:textId="77777777" w:rsidR="005C7976" w:rsidRPr="00F71710" w:rsidRDefault="005C7976" w:rsidP="005C7976">
      <w:pPr>
        <w:spacing w:afterLines="50" w:after="120"/>
        <w:rPr>
          <w:sz w:val="22"/>
          <w:szCs w:val="22"/>
          <w:lang w:val="en-US"/>
        </w:rPr>
      </w:pPr>
    </w:p>
    <w:p w14:paraId="345616E9" w14:textId="0F847CC5" w:rsidR="00484F06" w:rsidRPr="009517C5" w:rsidRDefault="001D741C" w:rsidP="001D741C">
      <w:pPr>
        <w:pStyle w:val="1"/>
        <w:numPr>
          <w:ilvl w:val="0"/>
          <w:numId w:val="6"/>
        </w:numPr>
        <w:spacing w:before="180" w:after="120"/>
        <w:rPr>
          <w:rFonts w:eastAsia="ＭＳ 明朝"/>
          <w:b/>
          <w:bCs/>
          <w:szCs w:val="24"/>
          <w:lang w:val="en-US"/>
        </w:rPr>
      </w:pPr>
      <w:r w:rsidRPr="001D741C">
        <w:rPr>
          <w:rFonts w:eastAsia="ＭＳ 明朝"/>
          <w:b/>
          <w:bCs/>
          <w:szCs w:val="24"/>
          <w:lang w:val="en-US"/>
        </w:rPr>
        <w:lastRenderedPageBreak/>
        <w:t>Initial signal for detection of COT</w:t>
      </w:r>
    </w:p>
    <w:p w14:paraId="4387F480" w14:textId="515FAFB6" w:rsidR="00120CB4" w:rsidRPr="0031441C" w:rsidRDefault="001D741C" w:rsidP="00120CB4">
      <w:pPr>
        <w:spacing w:afterLines="50" w:after="120"/>
        <w:rPr>
          <w:sz w:val="22"/>
          <w:szCs w:val="22"/>
          <w:lang w:val="en-US"/>
        </w:rPr>
      </w:pPr>
      <w:r w:rsidRPr="001D741C">
        <w:rPr>
          <w:sz w:val="22"/>
          <w:szCs w:val="22"/>
          <w:lang w:val="en-US"/>
        </w:rPr>
        <w:t xml:space="preserve">During the NR-U SI, </w:t>
      </w:r>
      <w:r>
        <w:rPr>
          <w:sz w:val="22"/>
          <w:szCs w:val="22"/>
          <w:lang w:val="en-US"/>
        </w:rPr>
        <w:t>the i</w:t>
      </w:r>
      <w:r w:rsidRPr="001D741C">
        <w:rPr>
          <w:sz w:val="22"/>
          <w:szCs w:val="22"/>
          <w:lang w:val="en-US"/>
        </w:rPr>
        <w:t>nitial signal for detection of COT had been discussed and following is captured in the TR38.889 [2].</w:t>
      </w:r>
    </w:p>
    <w:tbl>
      <w:tblPr>
        <w:tblStyle w:val="afb"/>
        <w:tblW w:w="0" w:type="auto"/>
        <w:tblLook w:val="04A0" w:firstRow="1" w:lastRow="0" w:firstColumn="1" w:lastColumn="0" w:noHBand="0" w:noVBand="1"/>
      </w:tblPr>
      <w:tblGrid>
        <w:gridCol w:w="9962"/>
      </w:tblGrid>
      <w:tr w:rsidR="00120CB4" w14:paraId="2EE8876E" w14:textId="77777777" w:rsidTr="00650AD9">
        <w:tc>
          <w:tcPr>
            <w:tcW w:w="9962" w:type="dxa"/>
          </w:tcPr>
          <w:p w14:paraId="67163F7E" w14:textId="77777777" w:rsidR="00016AFA" w:rsidRPr="00016AFA" w:rsidRDefault="00016AFA" w:rsidP="00016AFA">
            <w:pPr>
              <w:rPr>
                <w:sz w:val="20"/>
              </w:rPr>
            </w:pPr>
            <w:r w:rsidRPr="00016AFA">
              <w:rPr>
                <w:sz w:val="20"/>
              </w:rPr>
              <w:t>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693199DC" w14:textId="32C6FA3D" w:rsidR="00120CB4" w:rsidRPr="00016AFA" w:rsidRDefault="00016AFA" w:rsidP="00650AD9">
            <w:pPr>
              <w:rPr>
                <w:sz w:val="20"/>
              </w:rPr>
            </w:pPr>
            <w:r w:rsidRPr="00016AFA">
              <w:rPr>
                <w:sz w:val="20"/>
              </w:rPr>
              <w:t>Compared to NR Rel-15, it has been identified to be beneficial if the time domain instances in which the UE is expected to receive PDCCH can change dynamically, e.g. by implicit determination related to the gNB's COT, or explicitly signalled by the gNB.</w:t>
            </w:r>
          </w:p>
        </w:tc>
      </w:tr>
    </w:tbl>
    <w:p w14:paraId="29A06021" w14:textId="77777777" w:rsidR="00120CB4" w:rsidRDefault="00120CB4" w:rsidP="00120CB4">
      <w:pPr>
        <w:rPr>
          <w:rFonts w:ascii="Arial" w:hAnsi="Arial"/>
          <w:lang w:val="en-US"/>
        </w:rPr>
      </w:pPr>
    </w:p>
    <w:p w14:paraId="65CD268A" w14:textId="6BD678A2" w:rsidR="00942395" w:rsidRPr="00942395" w:rsidRDefault="00942395" w:rsidP="00DD78BE">
      <w:pPr>
        <w:snapToGrid w:val="0"/>
        <w:spacing w:afterLines="50" w:after="120"/>
        <w:rPr>
          <w:rFonts w:eastAsiaTheme="minorEastAsia"/>
          <w:sz w:val="22"/>
          <w:szCs w:val="22"/>
        </w:rPr>
      </w:pPr>
      <w:r>
        <w:rPr>
          <w:rFonts w:eastAsiaTheme="minorEastAsia"/>
          <w:sz w:val="22"/>
          <w:szCs w:val="22"/>
        </w:rPr>
        <w:t>As mentioned in the TR, d</w:t>
      </w:r>
      <w:r w:rsidR="001D741C" w:rsidRPr="006F17D7">
        <w:rPr>
          <w:rFonts w:eastAsiaTheme="minorEastAsia"/>
          <w:sz w:val="22"/>
          <w:szCs w:val="22"/>
        </w:rPr>
        <w:t>etection of the COT starting point with l</w:t>
      </w:r>
      <w:r w:rsidR="001D741C">
        <w:rPr>
          <w:rFonts w:eastAsiaTheme="minorEastAsia"/>
          <w:sz w:val="22"/>
          <w:szCs w:val="22"/>
        </w:rPr>
        <w:t>ow</w:t>
      </w:r>
      <w:r w:rsidR="001D741C" w:rsidRPr="006F17D7">
        <w:rPr>
          <w:rFonts w:eastAsiaTheme="minorEastAsia"/>
          <w:sz w:val="22"/>
          <w:szCs w:val="22"/>
        </w:rPr>
        <w:t xml:space="preserve"> complexity is </w:t>
      </w:r>
      <w:r w:rsidR="009D35FF">
        <w:rPr>
          <w:rFonts w:eastAsiaTheme="minorEastAsia"/>
          <w:sz w:val="22"/>
          <w:szCs w:val="22"/>
        </w:rPr>
        <w:t>beneficial</w:t>
      </w:r>
      <w:r w:rsidR="009D35FF" w:rsidRPr="006F17D7">
        <w:rPr>
          <w:rFonts w:eastAsiaTheme="minorEastAsia"/>
          <w:sz w:val="22"/>
          <w:szCs w:val="22"/>
        </w:rPr>
        <w:t xml:space="preserve"> </w:t>
      </w:r>
      <w:r w:rsidR="001D741C" w:rsidRPr="006F17D7">
        <w:rPr>
          <w:rFonts w:eastAsiaTheme="minorEastAsia"/>
          <w:sz w:val="22"/>
          <w:szCs w:val="22"/>
        </w:rPr>
        <w:t xml:space="preserve">in NR-U to reduce UE power consumption e.g., </w:t>
      </w:r>
      <w:r w:rsidR="001D741C">
        <w:rPr>
          <w:rFonts w:eastAsiaTheme="minorEastAsia"/>
          <w:sz w:val="22"/>
          <w:szCs w:val="22"/>
        </w:rPr>
        <w:t>by stopping/resuming the</w:t>
      </w:r>
      <w:r w:rsidR="001D741C" w:rsidRPr="006F17D7">
        <w:rPr>
          <w:rFonts w:eastAsiaTheme="minorEastAsia"/>
          <w:sz w:val="22"/>
          <w:szCs w:val="22"/>
        </w:rPr>
        <w:t xml:space="preserve"> </w:t>
      </w:r>
      <w:r w:rsidR="001D741C">
        <w:rPr>
          <w:rFonts w:eastAsiaTheme="minorEastAsia"/>
          <w:sz w:val="22"/>
          <w:szCs w:val="22"/>
        </w:rPr>
        <w:t xml:space="preserve">frequent </w:t>
      </w:r>
      <w:r w:rsidR="001D741C" w:rsidRPr="006F17D7">
        <w:rPr>
          <w:rFonts w:eastAsiaTheme="minorEastAsia"/>
          <w:sz w:val="22"/>
          <w:szCs w:val="22"/>
        </w:rPr>
        <w:t>PDCCH blind decoding</w:t>
      </w:r>
      <w:r w:rsidR="001D741C">
        <w:rPr>
          <w:rFonts w:eastAsiaTheme="minorEastAsia"/>
          <w:sz w:val="22"/>
          <w:szCs w:val="22"/>
        </w:rPr>
        <w:t xml:space="preserve"> </w:t>
      </w:r>
      <w:r w:rsidR="001D741C">
        <w:rPr>
          <w:rFonts w:eastAsiaTheme="minorEastAsia" w:hint="eastAsia"/>
          <w:sz w:val="22"/>
          <w:szCs w:val="22"/>
        </w:rPr>
        <w:t>t</w:t>
      </w:r>
      <w:r w:rsidR="001D741C">
        <w:rPr>
          <w:rFonts w:eastAsiaTheme="minorEastAsia"/>
          <w:sz w:val="22"/>
          <w:szCs w:val="22"/>
        </w:rPr>
        <w:t>o receive scheduling grant, the RS monitoring for CSI/RLM measurement and tracking, and so on appropriately</w:t>
      </w:r>
      <w:r w:rsidR="001D741C" w:rsidRPr="006F17D7">
        <w:rPr>
          <w:rFonts w:eastAsiaTheme="minorEastAsia"/>
          <w:sz w:val="22"/>
          <w:szCs w:val="22"/>
        </w:rPr>
        <w:t xml:space="preserve">. </w:t>
      </w:r>
      <w:r>
        <w:rPr>
          <w:rFonts w:eastAsiaTheme="minorEastAsia"/>
          <w:sz w:val="22"/>
          <w:szCs w:val="22"/>
        </w:rPr>
        <w:t>Followings are the alternatives of the way of COT starting indication.</w:t>
      </w:r>
    </w:p>
    <w:p w14:paraId="62657FB8" w14:textId="79301392" w:rsidR="00942395" w:rsidRPr="00942395" w:rsidRDefault="00942395" w:rsidP="00DD78BE">
      <w:pPr>
        <w:snapToGrid w:val="0"/>
        <w:spacing w:afterLines="50" w:after="120"/>
        <w:rPr>
          <w:sz w:val="22"/>
          <w:szCs w:val="22"/>
        </w:rPr>
      </w:pPr>
      <w:r w:rsidRPr="00942395">
        <w:rPr>
          <w:rFonts w:eastAsiaTheme="minorEastAsia"/>
          <w:sz w:val="22"/>
          <w:szCs w:val="22"/>
        </w:rPr>
        <w:t xml:space="preserve">   </w:t>
      </w:r>
      <w:r>
        <w:rPr>
          <w:rFonts w:eastAsiaTheme="minorEastAsia"/>
          <w:sz w:val="22"/>
          <w:szCs w:val="22"/>
        </w:rPr>
        <w:t xml:space="preserve"> </w:t>
      </w:r>
      <w:r w:rsidR="00005541">
        <w:rPr>
          <w:rFonts w:eastAsiaTheme="minorEastAsia"/>
          <w:sz w:val="22"/>
          <w:szCs w:val="22"/>
        </w:rPr>
        <w:t xml:space="preserve">- </w:t>
      </w:r>
      <w:r w:rsidRPr="00942395">
        <w:rPr>
          <w:rFonts w:eastAsiaTheme="minorEastAsia"/>
          <w:sz w:val="22"/>
          <w:szCs w:val="22"/>
        </w:rPr>
        <w:t xml:space="preserve">Alt. 1: </w:t>
      </w:r>
      <w:r w:rsidRPr="00942395">
        <w:rPr>
          <w:sz w:val="22"/>
          <w:szCs w:val="22"/>
        </w:rPr>
        <w:t>existing NR signal(s) with potential enhancement(s)</w:t>
      </w:r>
    </w:p>
    <w:p w14:paraId="0190697D" w14:textId="446BC159" w:rsidR="00942395" w:rsidRPr="00942395" w:rsidRDefault="00005541" w:rsidP="00DD78BE">
      <w:pPr>
        <w:snapToGrid w:val="0"/>
        <w:spacing w:afterLines="50" w:after="120"/>
        <w:ind w:firstLineChars="100" w:firstLine="220"/>
        <w:rPr>
          <w:sz w:val="22"/>
          <w:szCs w:val="22"/>
        </w:rPr>
      </w:pPr>
      <w:r>
        <w:rPr>
          <w:sz w:val="22"/>
          <w:szCs w:val="22"/>
        </w:rPr>
        <w:t xml:space="preserve">- </w:t>
      </w:r>
      <w:r w:rsidR="00942395" w:rsidRPr="00942395">
        <w:rPr>
          <w:sz w:val="22"/>
          <w:szCs w:val="22"/>
        </w:rPr>
        <w:t>Alt. 2: a channel such as PDCCH with potential enhancement(s)</w:t>
      </w:r>
    </w:p>
    <w:p w14:paraId="5EE2CCEA" w14:textId="74E5502A" w:rsidR="00942395" w:rsidRPr="00942395" w:rsidRDefault="00005541" w:rsidP="00DD78BE">
      <w:pPr>
        <w:snapToGrid w:val="0"/>
        <w:spacing w:afterLines="50" w:after="120"/>
        <w:ind w:firstLineChars="100" w:firstLine="220"/>
        <w:rPr>
          <w:rFonts w:eastAsiaTheme="minorEastAsia"/>
          <w:sz w:val="22"/>
          <w:szCs w:val="22"/>
        </w:rPr>
      </w:pPr>
      <w:r>
        <w:rPr>
          <w:sz w:val="22"/>
          <w:szCs w:val="22"/>
        </w:rPr>
        <w:t xml:space="preserve">- </w:t>
      </w:r>
      <w:r w:rsidR="00942395" w:rsidRPr="00942395">
        <w:rPr>
          <w:sz w:val="22"/>
          <w:szCs w:val="22"/>
        </w:rPr>
        <w:t>Alt. 3: the 802.11a/802.11ax preamble with potential enhancement(s)</w:t>
      </w:r>
    </w:p>
    <w:p w14:paraId="56A1A2C6" w14:textId="4E54374F" w:rsidR="001D741C" w:rsidRPr="006F17D7" w:rsidRDefault="001D741C" w:rsidP="00DD78BE">
      <w:pPr>
        <w:spacing w:after="100" w:afterAutospacing="1"/>
        <w:rPr>
          <w:rFonts w:eastAsiaTheme="minorEastAsia"/>
          <w:sz w:val="22"/>
          <w:szCs w:val="22"/>
        </w:rPr>
      </w:pPr>
      <w:r w:rsidRPr="006F17D7">
        <w:rPr>
          <w:rFonts w:eastAsiaTheme="minorEastAsia"/>
          <w:sz w:val="22"/>
          <w:szCs w:val="22"/>
        </w:rPr>
        <w:t xml:space="preserve">We think it is </w:t>
      </w:r>
      <w:r>
        <w:rPr>
          <w:rFonts w:eastAsiaTheme="minorEastAsia"/>
          <w:sz w:val="22"/>
          <w:szCs w:val="22"/>
        </w:rPr>
        <w:t>good</w:t>
      </w:r>
      <w:r w:rsidRPr="006F17D7">
        <w:rPr>
          <w:rFonts w:eastAsiaTheme="minorEastAsia"/>
          <w:sz w:val="22"/>
          <w:szCs w:val="22"/>
        </w:rPr>
        <w:t xml:space="preserve"> to transmit a </w:t>
      </w:r>
      <w:r>
        <w:rPr>
          <w:rFonts w:eastAsiaTheme="minorEastAsia"/>
          <w:sz w:val="22"/>
          <w:szCs w:val="22"/>
        </w:rPr>
        <w:t xml:space="preserve">specific PDCCH only for COT starting point indication </w:t>
      </w:r>
      <w:r w:rsidRPr="006F17D7">
        <w:rPr>
          <w:rFonts w:eastAsiaTheme="minorEastAsia"/>
          <w:sz w:val="22"/>
          <w:szCs w:val="22"/>
        </w:rPr>
        <w:t xml:space="preserve">at the beginning of a COT so that COT starting point can be detected </w:t>
      </w:r>
      <w:r>
        <w:rPr>
          <w:rFonts w:eastAsiaTheme="minorEastAsia"/>
          <w:sz w:val="22"/>
          <w:szCs w:val="22"/>
        </w:rPr>
        <w:t xml:space="preserve">by UE </w:t>
      </w:r>
      <w:r w:rsidRPr="006F17D7">
        <w:rPr>
          <w:rFonts w:eastAsiaTheme="minorEastAsia"/>
          <w:sz w:val="22"/>
          <w:szCs w:val="22"/>
        </w:rPr>
        <w:t>with less complexity</w:t>
      </w:r>
      <w:r w:rsidR="00E340A0">
        <w:rPr>
          <w:rFonts w:eastAsiaTheme="minorEastAsia"/>
          <w:sz w:val="22"/>
          <w:szCs w:val="22"/>
        </w:rPr>
        <w:t xml:space="preserve"> compared with </w:t>
      </w:r>
      <w:r w:rsidR="008708BF">
        <w:rPr>
          <w:rFonts w:eastAsiaTheme="minorEastAsia"/>
          <w:sz w:val="22"/>
          <w:szCs w:val="22"/>
        </w:rPr>
        <w:t>regular PDCCH monitoring where</w:t>
      </w:r>
      <w:r w:rsidR="00D833F2">
        <w:rPr>
          <w:rFonts w:eastAsiaTheme="minorEastAsia"/>
          <w:sz w:val="22"/>
          <w:szCs w:val="22"/>
        </w:rPr>
        <w:t xml:space="preserve"> there are many </w:t>
      </w:r>
      <w:r w:rsidR="00E340A0">
        <w:rPr>
          <w:rFonts w:eastAsiaTheme="minorEastAsia"/>
          <w:sz w:val="22"/>
          <w:szCs w:val="22"/>
        </w:rPr>
        <w:t>blind detection</w:t>
      </w:r>
      <w:r w:rsidR="00D833F2">
        <w:rPr>
          <w:rFonts w:eastAsiaTheme="minorEastAsia"/>
          <w:sz w:val="22"/>
          <w:szCs w:val="22"/>
        </w:rPr>
        <w:t xml:space="preserve"> hypotheses</w:t>
      </w:r>
      <w:r w:rsidRPr="006F17D7">
        <w:rPr>
          <w:rFonts w:eastAsiaTheme="minorEastAsia"/>
          <w:sz w:val="22"/>
          <w:szCs w:val="22"/>
        </w:rPr>
        <w:t xml:space="preserve">. </w:t>
      </w:r>
      <w:r>
        <w:rPr>
          <w:rFonts w:eastAsiaTheme="minorEastAsia"/>
          <w:sz w:val="22"/>
          <w:szCs w:val="22"/>
        </w:rPr>
        <w:t xml:space="preserve">Advantage of using </w:t>
      </w:r>
      <w:r w:rsidR="000B4097">
        <w:rPr>
          <w:rFonts w:eastAsiaTheme="minorEastAsia"/>
          <w:sz w:val="22"/>
          <w:szCs w:val="22"/>
        </w:rPr>
        <w:t xml:space="preserve">the </w:t>
      </w:r>
      <w:r w:rsidR="00942395">
        <w:rPr>
          <w:rFonts w:eastAsiaTheme="minorEastAsia"/>
          <w:sz w:val="22"/>
          <w:szCs w:val="22"/>
        </w:rPr>
        <w:t xml:space="preserve">specific </w:t>
      </w:r>
      <w:r>
        <w:rPr>
          <w:rFonts w:eastAsiaTheme="minorEastAsia"/>
          <w:sz w:val="22"/>
          <w:szCs w:val="22"/>
        </w:rPr>
        <w:t xml:space="preserve">PDCCH </w:t>
      </w:r>
      <w:r w:rsidR="008708BF">
        <w:rPr>
          <w:rFonts w:eastAsiaTheme="minorEastAsia"/>
          <w:sz w:val="22"/>
          <w:szCs w:val="22"/>
        </w:rPr>
        <w:t xml:space="preserve">instead of </w:t>
      </w:r>
      <w:r w:rsidR="000B4097">
        <w:rPr>
          <w:rFonts w:eastAsiaTheme="minorEastAsia"/>
          <w:sz w:val="22"/>
          <w:szCs w:val="22"/>
        </w:rPr>
        <w:t xml:space="preserve">a </w:t>
      </w:r>
      <w:r w:rsidR="008708BF">
        <w:rPr>
          <w:rFonts w:eastAsiaTheme="minorEastAsia"/>
          <w:sz w:val="22"/>
          <w:szCs w:val="22"/>
        </w:rPr>
        <w:t xml:space="preserve">specific reference signal </w:t>
      </w:r>
      <w:r w:rsidR="00942395">
        <w:rPr>
          <w:rFonts w:eastAsiaTheme="minorEastAsia"/>
          <w:sz w:val="22"/>
          <w:szCs w:val="22"/>
        </w:rPr>
        <w:t xml:space="preserve">is that </w:t>
      </w:r>
      <w:r w:rsidR="00005541">
        <w:rPr>
          <w:rFonts w:eastAsiaTheme="minorEastAsia"/>
          <w:sz w:val="22"/>
          <w:szCs w:val="22"/>
        </w:rPr>
        <w:t>the detection is more</w:t>
      </w:r>
      <w:r>
        <w:rPr>
          <w:rFonts w:eastAsiaTheme="minorEastAsia"/>
          <w:sz w:val="22"/>
          <w:szCs w:val="22"/>
        </w:rPr>
        <w:t xml:space="preserve"> reliable and </w:t>
      </w:r>
      <w:r w:rsidR="00150855">
        <w:rPr>
          <w:rFonts w:eastAsiaTheme="minorEastAsia"/>
          <w:sz w:val="22"/>
          <w:szCs w:val="22"/>
        </w:rPr>
        <w:t>does not</w:t>
      </w:r>
      <w:r w:rsidR="00005541">
        <w:rPr>
          <w:rFonts w:eastAsiaTheme="minorEastAsia"/>
          <w:sz w:val="22"/>
          <w:szCs w:val="22"/>
        </w:rPr>
        <w:t xml:space="preserve"> </w:t>
      </w:r>
      <w:r>
        <w:rPr>
          <w:rFonts w:eastAsiaTheme="minorEastAsia"/>
          <w:sz w:val="22"/>
          <w:szCs w:val="22"/>
        </w:rPr>
        <w:t>cause false alarm thanks to CRC.</w:t>
      </w:r>
      <w:r w:rsidR="00005541">
        <w:rPr>
          <w:rFonts w:eastAsiaTheme="minorEastAsia"/>
          <w:sz w:val="22"/>
          <w:szCs w:val="22"/>
        </w:rPr>
        <w:t xml:space="preserve"> Additionally, </w:t>
      </w:r>
      <w:r w:rsidR="008708BF">
        <w:rPr>
          <w:rFonts w:eastAsiaTheme="minorEastAsia"/>
          <w:sz w:val="22"/>
          <w:szCs w:val="22"/>
        </w:rPr>
        <w:t xml:space="preserve">the </w:t>
      </w:r>
      <w:r w:rsidR="00005541">
        <w:rPr>
          <w:rFonts w:eastAsiaTheme="minorEastAsia"/>
          <w:sz w:val="22"/>
          <w:szCs w:val="22"/>
        </w:rPr>
        <w:t xml:space="preserve">PDCCH can include </w:t>
      </w:r>
      <w:r w:rsidR="00F2703E">
        <w:rPr>
          <w:rFonts w:eastAsiaTheme="minorEastAsia"/>
          <w:sz w:val="22"/>
          <w:szCs w:val="22"/>
        </w:rPr>
        <w:t xml:space="preserve">more information compared with </w:t>
      </w:r>
      <w:r w:rsidR="009D35FF">
        <w:rPr>
          <w:rFonts w:eastAsiaTheme="minorEastAsia"/>
          <w:sz w:val="22"/>
          <w:szCs w:val="22"/>
        </w:rPr>
        <w:t>signal/</w:t>
      </w:r>
      <w:r w:rsidR="00F2703E">
        <w:rPr>
          <w:rFonts w:eastAsiaTheme="minorEastAsia"/>
          <w:sz w:val="22"/>
          <w:szCs w:val="22"/>
        </w:rPr>
        <w:t xml:space="preserve">preamble. It seems useful that the </w:t>
      </w:r>
      <w:r w:rsidR="009D35FF">
        <w:rPr>
          <w:rFonts w:eastAsiaTheme="minorEastAsia"/>
          <w:sz w:val="22"/>
          <w:szCs w:val="22"/>
        </w:rPr>
        <w:t>initial</w:t>
      </w:r>
      <w:r w:rsidR="00F2703E">
        <w:rPr>
          <w:rFonts w:eastAsiaTheme="minorEastAsia"/>
          <w:sz w:val="22"/>
          <w:szCs w:val="22"/>
        </w:rPr>
        <w:t xml:space="preserve"> signal</w:t>
      </w:r>
      <w:r w:rsidR="009D35FF">
        <w:rPr>
          <w:rFonts w:eastAsiaTheme="minorEastAsia"/>
          <w:sz w:val="22"/>
          <w:szCs w:val="22"/>
        </w:rPr>
        <w:t xml:space="preserve"> or channel</w:t>
      </w:r>
      <w:r w:rsidR="00F2703E">
        <w:rPr>
          <w:rFonts w:eastAsiaTheme="minorEastAsia"/>
          <w:sz w:val="22"/>
          <w:szCs w:val="22"/>
        </w:rPr>
        <w:t xml:space="preserve"> of the COT indicate</w:t>
      </w:r>
      <w:r w:rsidR="009D35FF">
        <w:rPr>
          <w:rFonts w:eastAsiaTheme="minorEastAsia"/>
          <w:sz w:val="22"/>
          <w:szCs w:val="22"/>
        </w:rPr>
        <w:t>s</w:t>
      </w:r>
      <w:r w:rsidR="00F2703E">
        <w:rPr>
          <w:rFonts w:eastAsiaTheme="minorEastAsia"/>
          <w:sz w:val="22"/>
          <w:szCs w:val="22"/>
        </w:rPr>
        <w:t xml:space="preserve"> CELL_ID, MNC, system identification code and/or length of COT</w:t>
      </w:r>
      <w:r w:rsidR="00A30FA6">
        <w:rPr>
          <w:rFonts w:eastAsiaTheme="minorEastAsia"/>
          <w:sz w:val="22"/>
          <w:szCs w:val="22"/>
        </w:rPr>
        <w:t xml:space="preserve"> and so on</w:t>
      </w:r>
      <w:r w:rsidR="00F2703E">
        <w:rPr>
          <w:rFonts w:eastAsiaTheme="minorEastAsia"/>
          <w:sz w:val="22"/>
          <w:szCs w:val="22"/>
        </w:rPr>
        <w:t>.</w:t>
      </w:r>
      <w:r w:rsidR="0077077C">
        <w:rPr>
          <w:rFonts w:eastAsiaTheme="minorEastAsia" w:hint="eastAsia"/>
          <w:sz w:val="22"/>
          <w:szCs w:val="22"/>
        </w:rPr>
        <w:t xml:space="preserve"> </w:t>
      </w:r>
      <w:r w:rsidR="0077077C">
        <w:rPr>
          <w:rFonts w:eastAsiaTheme="minorEastAsia"/>
          <w:sz w:val="22"/>
          <w:szCs w:val="22"/>
        </w:rPr>
        <w:t>Indicating CELL_ID</w:t>
      </w:r>
      <w:r w:rsidRPr="006F17D7">
        <w:rPr>
          <w:rFonts w:eastAsiaTheme="minorEastAsia"/>
          <w:sz w:val="22"/>
          <w:szCs w:val="22"/>
        </w:rPr>
        <w:t xml:space="preserve"> </w:t>
      </w:r>
      <w:r w:rsidR="00D10775">
        <w:rPr>
          <w:rFonts w:eastAsiaTheme="minorEastAsia"/>
          <w:sz w:val="22"/>
          <w:szCs w:val="22"/>
        </w:rPr>
        <w:t xml:space="preserve">in the initial signal/channel </w:t>
      </w:r>
      <w:r w:rsidRPr="006F17D7">
        <w:rPr>
          <w:rFonts w:eastAsiaTheme="minorEastAsia"/>
          <w:sz w:val="22"/>
          <w:szCs w:val="22"/>
        </w:rPr>
        <w:t xml:space="preserve">has an advantage that UEs can </w:t>
      </w:r>
      <w:r w:rsidR="00D10775">
        <w:rPr>
          <w:rFonts w:eastAsiaTheme="minorEastAsia"/>
          <w:sz w:val="22"/>
          <w:szCs w:val="22"/>
        </w:rPr>
        <w:t>identify</w:t>
      </w:r>
      <w:r w:rsidRPr="006F17D7">
        <w:rPr>
          <w:rFonts w:eastAsiaTheme="minorEastAsia"/>
          <w:sz w:val="22"/>
          <w:szCs w:val="22"/>
        </w:rPr>
        <w:t xml:space="preserve"> </w:t>
      </w:r>
      <w:r w:rsidR="00D10775">
        <w:rPr>
          <w:rFonts w:eastAsiaTheme="minorEastAsia"/>
          <w:sz w:val="22"/>
          <w:szCs w:val="22"/>
        </w:rPr>
        <w:t xml:space="preserve">the COT of </w:t>
      </w:r>
      <w:r w:rsidRPr="006F17D7">
        <w:rPr>
          <w:rFonts w:eastAsiaTheme="minorEastAsia"/>
          <w:sz w:val="22"/>
          <w:szCs w:val="22"/>
        </w:rPr>
        <w:t xml:space="preserve">serving cell and </w:t>
      </w:r>
      <w:r w:rsidR="00D10775">
        <w:rPr>
          <w:rFonts w:eastAsiaTheme="minorEastAsia"/>
          <w:sz w:val="22"/>
          <w:szCs w:val="22"/>
        </w:rPr>
        <w:t xml:space="preserve">can </w:t>
      </w:r>
      <w:r w:rsidRPr="006F17D7">
        <w:rPr>
          <w:rFonts w:eastAsiaTheme="minorEastAsia"/>
          <w:sz w:val="22"/>
          <w:szCs w:val="22"/>
        </w:rPr>
        <w:t xml:space="preserve">ignore the COT of other cell/system. If </w:t>
      </w:r>
      <w:r w:rsidR="0077077C">
        <w:rPr>
          <w:rFonts w:eastAsiaTheme="minorEastAsia"/>
          <w:sz w:val="22"/>
          <w:szCs w:val="22"/>
        </w:rPr>
        <w:t>MNC</w:t>
      </w:r>
      <w:r w:rsidRPr="006F17D7">
        <w:rPr>
          <w:rFonts w:eastAsiaTheme="minorEastAsia"/>
          <w:sz w:val="22"/>
          <w:szCs w:val="22"/>
        </w:rPr>
        <w:t xml:space="preserve"> is </w:t>
      </w:r>
      <w:r w:rsidR="0077077C">
        <w:rPr>
          <w:rFonts w:eastAsiaTheme="minorEastAsia"/>
          <w:sz w:val="22"/>
          <w:szCs w:val="22"/>
        </w:rPr>
        <w:t>informed with</w:t>
      </w:r>
      <w:r>
        <w:rPr>
          <w:rFonts w:eastAsiaTheme="minorEastAsia"/>
          <w:sz w:val="22"/>
          <w:szCs w:val="22"/>
        </w:rPr>
        <w:t xml:space="preserve"> COT starting indication</w:t>
      </w:r>
      <w:r w:rsidRPr="006F17D7">
        <w:rPr>
          <w:rFonts w:eastAsiaTheme="minorEastAsia"/>
          <w:sz w:val="22"/>
          <w:szCs w:val="22"/>
        </w:rPr>
        <w:t xml:space="preserve">, </w:t>
      </w:r>
      <w:r w:rsidRPr="006F17D7">
        <w:rPr>
          <w:rFonts w:eastAsiaTheme="minorEastAsia" w:hint="eastAsia"/>
          <w:sz w:val="22"/>
          <w:szCs w:val="22"/>
        </w:rPr>
        <w:t xml:space="preserve">UEs </w:t>
      </w:r>
      <w:r w:rsidRPr="006F17D7">
        <w:rPr>
          <w:rFonts w:eastAsiaTheme="minorEastAsia"/>
          <w:sz w:val="22"/>
          <w:szCs w:val="22"/>
        </w:rPr>
        <w:t xml:space="preserve">can detect other operator’s coexistence. </w:t>
      </w:r>
      <w:r w:rsidR="00D10775">
        <w:rPr>
          <w:rFonts w:eastAsiaTheme="minorEastAsia"/>
          <w:sz w:val="22"/>
          <w:szCs w:val="22"/>
        </w:rPr>
        <w:t xml:space="preserve">Sending </w:t>
      </w:r>
      <w:r w:rsidRPr="006F17D7">
        <w:rPr>
          <w:rFonts w:eastAsiaTheme="minorEastAsia"/>
          <w:sz w:val="22"/>
          <w:szCs w:val="22"/>
        </w:rPr>
        <w:t xml:space="preserve">NR-U </w:t>
      </w:r>
      <w:r w:rsidR="00D10775">
        <w:rPr>
          <w:rFonts w:eastAsiaTheme="minorEastAsia"/>
          <w:sz w:val="22"/>
          <w:szCs w:val="22"/>
        </w:rPr>
        <w:t>common</w:t>
      </w:r>
      <w:r w:rsidR="00D10775" w:rsidRPr="006F17D7">
        <w:rPr>
          <w:sz w:val="22"/>
          <w:szCs w:val="22"/>
        </w:rPr>
        <w:t xml:space="preserve"> </w:t>
      </w:r>
      <w:r>
        <w:rPr>
          <w:rFonts w:eastAsiaTheme="minorEastAsia"/>
          <w:sz w:val="22"/>
          <w:szCs w:val="22"/>
        </w:rPr>
        <w:t>signal</w:t>
      </w:r>
      <w:r w:rsidR="00D10775">
        <w:rPr>
          <w:rFonts w:eastAsiaTheme="minorEastAsia"/>
          <w:sz w:val="22"/>
          <w:szCs w:val="22"/>
        </w:rPr>
        <w:t>/channel</w:t>
      </w:r>
      <w:r w:rsidRPr="006F17D7">
        <w:rPr>
          <w:rFonts w:eastAsiaTheme="minorEastAsia"/>
          <w:sz w:val="22"/>
          <w:szCs w:val="22"/>
        </w:rPr>
        <w:t xml:space="preserve"> </w:t>
      </w:r>
      <w:r w:rsidR="00D10775">
        <w:rPr>
          <w:rFonts w:eastAsiaTheme="minorEastAsia"/>
          <w:sz w:val="22"/>
          <w:szCs w:val="22"/>
        </w:rPr>
        <w:t xml:space="preserve">may achieve that </w:t>
      </w:r>
      <w:r w:rsidRPr="006F17D7">
        <w:rPr>
          <w:rFonts w:eastAsiaTheme="minorEastAsia"/>
          <w:sz w:val="22"/>
          <w:szCs w:val="22"/>
        </w:rPr>
        <w:t>UEs</w:t>
      </w:r>
      <w:r w:rsidR="00D10775">
        <w:rPr>
          <w:rFonts w:eastAsiaTheme="minorEastAsia"/>
          <w:sz w:val="22"/>
          <w:szCs w:val="22"/>
        </w:rPr>
        <w:t xml:space="preserve"> can</w:t>
      </w:r>
      <w:r w:rsidRPr="006F17D7">
        <w:rPr>
          <w:rFonts w:eastAsiaTheme="minorEastAsia"/>
          <w:sz w:val="22"/>
          <w:szCs w:val="22"/>
        </w:rPr>
        <w:t xml:space="preserve"> </w:t>
      </w:r>
      <w:r w:rsidR="00D10775">
        <w:rPr>
          <w:rFonts w:eastAsiaTheme="minorEastAsia"/>
          <w:sz w:val="22"/>
          <w:szCs w:val="22"/>
        </w:rPr>
        <w:t xml:space="preserve">obtain information from coexisting NR system </w:t>
      </w:r>
      <w:r w:rsidRPr="006F17D7">
        <w:rPr>
          <w:rFonts w:eastAsiaTheme="minorEastAsia"/>
          <w:sz w:val="22"/>
          <w:szCs w:val="22"/>
        </w:rPr>
        <w:t xml:space="preserve">that </w:t>
      </w:r>
      <w:r w:rsidR="00D10775">
        <w:rPr>
          <w:rFonts w:eastAsiaTheme="minorEastAsia"/>
          <w:sz w:val="22"/>
          <w:szCs w:val="22"/>
        </w:rPr>
        <w:t xml:space="preserve">potentially </w:t>
      </w:r>
      <w:r w:rsidRPr="006F17D7">
        <w:rPr>
          <w:rFonts w:eastAsiaTheme="minorEastAsia"/>
          <w:sz w:val="22"/>
          <w:szCs w:val="22"/>
        </w:rPr>
        <w:t xml:space="preserve">makes the further efficient </w:t>
      </w:r>
      <w:r>
        <w:rPr>
          <w:rFonts w:eastAsiaTheme="minorEastAsia"/>
          <w:sz w:val="22"/>
          <w:szCs w:val="22"/>
        </w:rPr>
        <w:t xml:space="preserve">control for channel </w:t>
      </w:r>
      <w:r w:rsidRPr="006F17D7">
        <w:rPr>
          <w:rFonts w:eastAsiaTheme="minorEastAsia"/>
          <w:sz w:val="22"/>
          <w:szCs w:val="22"/>
        </w:rPr>
        <w:t xml:space="preserve">access </w:t>
      </w:r>
      <w:r>
        <w:rPr>
          <w:rFonts w:eastAsiaTheme="minorEastAsia"/>
          <w:sz w:val="22"/>
          <w:szCs w:val="22"/>
        </w:rPr>
        <w:t>mechanism</w:t>
      </w:r>
      <w:r w:rsidRPr="006F17D7">
        <w:rPr>
          <w:rFonts w:eastAsiaTheme="minorEastAsia"/>
          <w:sz w:val="22"/>
          <w:szCs w:val="22"/>
        </w:rPr>
        <w:t xml:space="preserve"> possible.</w:t>
      </w:r>
      <w:r w:rsidR="00A30FA6">
        <w:rPr>
          <w:rFonts w:eastAsiaTheme="minorEastAsia"/>
          <w:sz w:val="22"/>
          <w:szCs w:val="22"/>
        </w:rPr>
        <w:t xml:space="preserve"> Indication of COT length can keep </w:t>
      </w:r>
      <w:r w:rsidR="00C7505B" w:rsidRPr="00C7505B">
        <w:rPr>
          <w:rFonts w:eastAsiaTheme="minorEastAsia"/>
          <w:sz w:val="22"/>
          <w:szCs w:val="22"/>
        </w:rPr>
        <w:t>neighboring</w:t>
      </w:r>
      <w:r w:rsidR="00C7505B">
        <w:rPr>
          <w:rFonts w:eastAsiaTheme="minorEastAsia"/>
          <w:sz w:val="22"/>
          <w:szCs w:val="22"/>
        </w:rPr>
        <w:t xml:space="preserve"> nodes </w:t>
      </w:r>
      <w:r w:rsidR="00A30FA6">
        <w:rPr>
          <w:rFonts w:eastAsiaTheme="minorEastAsia"/>
          <w:sz w:val="22"/>
          <w:szCs w:val="22"/>
        </w:rPr>
        <w:t xml:space="preserve">silence </w:t>
      </w:r>
      <w:r w:rsidR="00C7505B">
        <w:rPr>
          <w:rFonts w:eastAsiaTheme="minorEastAsia"/>
          <w:sz w:val="22"/>
          <w:szCs w:val="22"/>
        </w:rPr>
        <w:t xml:space="preserve">and </w:t>
      </w:r>
      <w:r w:rsidR="00A30FA6">
        <w:rPr>
          <w:rFonts w:eastAsiaTheme="minorEastAsia"/>
          <w:sz w:val="22"/>
          <w:szCs w:val="22"/>
        </w:rPr>
        <w:t xml:space="preserve">reduce confliction of </w:t>
      </w:r>
      <w:r w:rsidR="00864282">
        <w:rPr>
          <w:rFonts w:eastAsiaTheme="minorEastAsia"/>
          <w:sz w:val="22"/>
          <w:szCs w:val="22"/>
        </w:rPr>
        <w:t xml:space="preserve">signals from </w:t>
      </w:r>
      <w:r w:rsidR="00A30FA6">
        <w:rPr>
          <w:rFonts w:eastAsiaTheme="minorEastAsia"/>
          <w:sz w:val="22"/>
          <w:szCs w:val="22"/>
        </w:rPr>
        <w:t>hidden nodes.</w:t>
      </w:r>
    </w:p>
    <w:p w14:paraId="11EE64F1" w14:textId="7EA92EAA" w:rsidR="001D741C" w:rsidRPr="00DD78BE" w:rsidRDefault="001D741C" w:rsidP="00DD78BE">
      <w:pPr>
        <w:spacing w:before="120" w:after="50"/>
        <w:rPr>
          <w:rFonts w:eastAsia="Batang"/>
          <w:b/>
          <w:sz w:val="22"/>
          <w:szCs w:val="22"/>
          <w:lang w:eastAsia="ko-KR"/>
        </w:rPr>
      </w:pPr>
      <w:r w:rsidRPr="008D4091">
        <w:rPr>
          <w:rFonts w:eastAsia="Batang"/>
          <w:b/>
          <w:sz w:val="22"/>
          <w:szCs w:val="22"/>
          <w:lang w:eastAsia="ko-KR"/>
        </w:rPr>
        <w:t xml:space="preserve">Proposal </w:t>
      </w:r>
      <w:r>
        <w:rPr>
          <w:rFonts w:eastAsia="Batang"/>
          <w:b/>
          <w:sz w:val="22"/>
          <w:szCs w:val="22"/>
          <w:lang w:eastAsia="ko-KR"/>
        </w:rPr>
        <w:t>2</w:t>
      </w:r>
      <w:r w:rsidRPr="008D4091">
        <w:rPr>
          <w:rFonts w:eastAsia="Batang"/>
          <w:b/>
          <w:sz w:val="22"/>
          <w:szCs w:val="22"/>
          <w:lang w:eastAsia="ko-KR"/>
        </w:rPr>
        <w:t xml:space="preserve">: </w:t>
      </w:r>
      <w:r w:rsidRPr="00DD78BE">
        <w:rPr>
          <w:rFonts w:eastAsia="Batang"/>
          <w:b/>
          <w:sz w:val="22"/>
          <w:szCs w:val="22"/>
          <w:lang w:eastAsia="ko-KR"/>
        </w:rPr>
        <w:t>It is beneficial to transmit a specific PDCCH</w:t>
      </w:r>
      <w:r w:rsidRPr="00DD78BE" w:rsidDel="00A44B57">
        <w:rPr>
          <w:rFonts w:eastAsia="Batang"/>
          <w:b/>
          <w:sz w:val="22"/>
          <w:szCs w:val="22"/>
          <w:lang w:eastAsia="ko-KR"/>
        </w:rPr>
        <w:t xml:space="preserve"> </w:t>
      </w:r>
      <w:r w:rsidRPr="00DD78BE">
        <w:rPr>
          <w:rFonts w:eastAsia="Batang"/>
          <w:b/>
          <w:sz w:val="22"/>
          <w:szCs w:val="22"/>
          <w:lang w:eastAsia="ko-KR"/>
        </w:rPr>
        <w:t>for COT starting point indication</w:t>
      </w:r>
      <w:r w:rsidRPr="00DD78BE" w:rsidDel="00180323">
        <w:rPr>
          <w:rFonts w:eastAsia="Batang"/>
          <w:b/>
          <w:sz w:val="22"/>
          <w:szCs w:val="22"/>
          <w:lang w:eastAsia="ko-KR"/>
        </w:rPr>
        <w:t xml:space="preserve"> </w:t>
      </w:r>
      <w:r w:rsidRPr="00DD78BE">
        <w:rPr>
          <w:rFonts w:eastAsia="Batang"/>
          <w:b/>
          <w:sz w:val="22"/>
          <w:szCs w:val="22"/>
          <w:lang w:eastAsia="ko-KR"/>
        </w:rPr>
        <w:t>at the beginning of a C</w:t>
      </w:r>
      <w:bookmarkStart w:id="3" w:name="_GoBack"/>
      <w:bookmarkEnd w:id="3"/>
      <w:r w:rsidRPr="00DD78BE">
        <w:rPr>
          <w:rFonts w:eastAsia="Batang"/>
          <w:b/>
          <w:sz w:val="22"/>
          <w:szCs w:val="22"/>
          <w:lang w:eastAsia="ko-KR"/>
        </w:rPr>
        <w:t xml:space="preserve">OT. </w:t>
      </w:r>
    </w:p>
    <w:p w14:paraId="154836CC" w14:textId="2469D3A3" w:rsidR="00757345" w:rsidRDefault="00757345" w:rsidP="00DD78BE">
      <w:pPr>
        <w:spacing w:after="50"/>
        <w:rPr>
          <w:rFonts w:eastAsia="ＭＳ 明朝"/>
          <w:b/>
          <w:sz w:val="22"/>
          <w:lang w:val="en-US"/>
        </w:rPr>
      </w:pPr>
    </w:p>
    <w:p w14:paraId="0AE8EB49" w14:textId="77777777" w:rsidR="00DD78BE" w:rsidRDefault="00DD78BE" w:rsidP="00AE70FC">
      <w:pPr>
        <w:rPr>
          <w:rFonts w:eastAsia="ＭＳ 明朝" w:hint="eastAsia"/>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52A595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204A53">
        <w:rPr>
          <w:rFonts w:eastAsia="ＭＳ 明朝"/>
          <w:sz w:val="22"/>
          <w:szCs w:val="22"/>
          <w:lang w:val="en-US"/>
        </w:rPr>
        <w:t>DL</w:t>
      </w:r>
      <w:r w:rsidR="00484F06">
        <w:rPr>
          <w:rFonts w:eastAsia="ＭＳ 明朝"/>
          <w:sz w:val="22"/>
          <w:szCs w:val="22"/>
          <w:lang w:val="en-US"/>
        </w:rPr>
        <w:t xml:space="preserve"> signals and channels for NR-U</w:t>
      </w:r>
      <w:r w:rsidR="00664353">
        <w:rPr>
          <w:rFonts w:eastAsia="ＭＳ 明朝"/>
          <w:sz w:val="22"/>
          <w:szCs w:val="22"/>
          <w:lang w:val="en-US"/>
        </w:rPr>
        <w:t>, including</w:t>
      </w:r>
      <w:r w:rsidR="00664353" w:rsidRPr="00BE79F6">
        <w:t xml:space="preserve"> </w:t>
      </w:r>
      <w:r w:rsidR="00664353" w:rsidRPr="00BE79F6">
        <w:rPr>
          <w:rFonts w:eastAsia="ＭＳ 明朝"/>
          <w:sz w:val="22"/>
          <w:szCs w:val="22"/>
          <w:lang w:val="en-US"/>
        </w:rPr>
        <w:t>PDSCH transmission at the beginning of DL transmission burst</w:t>
      </w:r>
      <w:r w:rsidR="00664353">
        <w:rPr>
          <w:rFonts w:eastAsia="ＭＳ 明朝"/>
          <w:sz w:val="22"/>
          <w:szCs w:val="22"/>
          <w:lang w:val="en-US"/>
        </w:rPr>
        <w:t xml:space="preserve"> and i</w:t>
      </w:r>
      <w:r w:rsidR="00664353" w:rsidRPr="00BE79F6">
        <w:rPr>
          <w:rFonts w:eastAsia="ＭＳ 明朝"/>
          <w:sz w:val="22"/>
          <w:szCs w:val="22"/>
          <w:lang w:val="en-US"/>
        </w:rPr>
        <w:t>nitial signal for detection of COT</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6D527DAC" w14:textId="77777777" w:rsidR="002811DE" w:rsidRDefault="002811DE" w:rsidP="002811DE">
      <w:pPr>
        <w:spacing w:before="120" w:after="120"/>
        <w:rPr>
          <w:rFonts w:eastAsiaTheme="minorEastAsia"/>
          <w:b/>
          <w:sz w:val="22"/>
          <w:szCs w:val="22"/>
        </w:rPr>
      </w:pPr>
      <w:r w:rsidRPr="008D4091">
        <w:rPr>
          <w:rFonts w:eastAsia="Batang"/>
          <w:b/>
          <w:sz w:val="22"/>
          <w:szCs w:val="22"/>
          <w:lang w:eastAsia="ko-KR"/>
        </w:rPr>
        <w:t xml:space="preserve">Proposal </w:t>
      </w:r>
      <w:r>
        <w:rPr>
          <w:rFonts w:eastAsia="Batang"/>
          <w:b/>
          <w:sz w:val="22"/>
          <w:szCs w:val="22"/>
          <w:lang w:eastAsia="ko-KR"/>
        </w:rPr>
        <w:t xml:space="preserve">1: </w:t>
      </w:r>
      <w:r w:rsidRPr="0070436C">
        <w:rPr>
          <w:rFonts w:eastAsiaTheme="minorEastAsia"/>
          <w:b/>
          <w:sz w:val="22"/>
          <w:szCs w:val="22"/>
        </w:rPr>
        <w:t>PDSCH</w:t>
      </w:r>
      <w:r w:rsidRPr="00FA6BF3">
        <w:rPr>
          <w:rFonts w:eastAsiaTheme="minorEastAsia"/>
          <w:b/>
          <w:sz w:val="22"/>
          <w:szCs w:val="22"/>
        </w:rPr>
        <w:t>(s) as in Rel-15 NR</w:t>
      </w:r>
      <w:r w:rsidRPr="0070436C">
        <w:rPr>
          <w:rFonts w:eastAsiaTheme="minorEastAsia"/>
          <w:b/>
          <w:sz w:val="22"/>
          <w:szCs w:val="22"/>
        </w:rPr>
        <w:t xml:space="preserve"> is transmitted at the beginning of DL transmission burst</w:t>
      </w:r>
      <w:r>
        <w:rPr>
          <w:rFonts w:eastAsiaTheme="minorEastAsia"/>
          <w:b/>
          <w:sz w:val="22"/>
          <w:szCs w:val="22"/>
        </w:rPr>
        <w:t>.</w:t>
      </w:r>
    </w:p>
    <w:p w14:paraId="4490BF7C" w14:textId="54827888" w:rsidR="002811DE" w:rsidRPr="002811DE" w:rsidRDefault="002811DE" w:rsidP="002811DE">
      <w:pPr>
        <w:rPr>
          <w:rFonts w:eastAsiaTheme="minorEastAsia"/>
          <w:b/>
          <w:sz w:val="22"/>
          <w:szCs w:val="22"/>
        </w:rPr>
      </w:pPr>
      <w:r w:rsidRPr="008D4091">
        <w:rPr>
          <w:rFonts w:eastAsia="Batang"/>
          <w:b/>
          <w:sz w:val="22"/>
          <w:szCs w:val="22"/>
          <w:lang w:eastAsia="ko-KR"/>
        </w:rPr>
        <w:t xml:space="preserve">Proposal </w:t>
      </w:r>
      <w:r>
        <w:rPr>
          <w:rFonts w:eastAsia="Batang"/>
          <w:b/>
          <w:sz w:val="22"/>
          <w:szCs w:val="22"/>
          <w:lang w:eastAsia="ko-KR"/>
        </w:rPr>
        <w:t>2</w:t>
      </w:r>
      <w:r w:rsidRPr="008D4091">
        <w:rPr>
          <w:rFonts w:eastAsia="Batang"/>
          <w:b/>
          <w:sz w:val="22"/>
          <w:szCs w:val="22"/>
          <w:lang w:eastAsia="ko-KR"/>
        </w:rPr>
        <w:t xml:space="preserve">: </w:t>
      </w:r>
      <w:r w:rsidRPr="008D4091">
        <w:rPr>
          <w:rFonts w:eastAsiaTheme="minorEastAsia"/>
          <w:b/>
          <w:sz w:val="22"/>
          <w:szCs w:val="22"/>
        </w:rPr>
        <w:t xml:space="preserve">It is </w:t>
      </w:r>
      <w:r>
        <w:rPr>
          <w:rFonts w:eastAsiaTheme="minorEastAsia"/>
          <w:b/>
          <w:sz w:val="22"/>
          <w:szCs w:val="22"/>
        </w:rPr>
        <w:t>beneficial</w:t>
      </w:r>
      <w:r w:rsidRPr="008D4091">
        <w:rPr>
          <w:rFonts w:eastAsiaTheme="minorEastAsia"/>
          <w:b/>
          <w:sz w:val="22"/>
          <w:szCs w:val="22"/>
        </w:rPr>
        <w:t xml:space="preserve"> to transmit </w:t>
      </w:r>
      <w:r w:rsidRPr="00180323">
        <w:rPr>
          <w:rFonts w:eastAsiaTheme="minorEastAsia"/>
          <w:b/>
          <w:sz w:val="22"/>
          <w:szCs w:val="22"/>
        </w:rPr>
        <w:t xml:space="preserve">a </w:t>
      </w:r>
      <w:r>
        <w:rPr>
          <w:rFonts w:eastAsiaTheme="minorEastAsia"/>
          <w:b/>
          <w:sz w:val="22"/>
          <w:szCs w:val="22"/>
        </w:rPr>
        <w:t xml:space="preserve">specific </w:t>
      </w:r>
      <w:r w:rsidRPr="00180323">
        <w:rPr>
          <w:rFonts w:eastAsiaTheme="minorEastAsia"/>
          <w:b/>
          <w:sz w:val="22"/>
          <w:szCs w:val="22"/>
        </w:rPr>
        <w:t>PDCCH</w:t>
      </w:r>
      <w:r w:rsidRPr="00180323" w:rsidDel="00A44B57">
        <w:rPr>
          <w:rFonts w:eastAsiaTheme="minorEastAsia"/>
          <w:b/>
          <w:sz w:val="22"/>
          <w:szCs w:val="22"/>
        </w:rPr>
        <w:t xml:space="preserve"> </w:t>
      </w:r>
      <w:r w:rsidRPr="00180323">
        <w:rPr>
          <w:rFonts w:eastAsiaTheme="minorEastAsia"/>
          <w:b/>
          <w:sz w:val="22"/>
          <w:szCs w:val="22"/>
        </w:rPr>
        <w:t>for COT starting point indication</w:t>
      </w:r>
      <w:r w:rsidRPr="00180323" w:rsidDel="00180323">
        <w:rPr>
          <w:rFonts w:eastAsiaTheme="minorEastAsia"/>
          <w:b/>
          <w:sz w:val="22"/>
          <w:szCs w:val="22"/>
        </w:rPr>
        <w:t xml:space="preserve"> </w:t>
      </w:r>
      <w:r w:rsidRPr="008D4091">
        <w:rPr>
          <w:rFonts w:eastAsiaTheme="minorEastAsia"/>
          <w:b/>
          <w:sz w:val="22"/>
          <w:szCs w:val="22"/>
        </w:rPr>
        <w:t xml:space="preserve">at </w:t>
      </w:r>
      <w:r>
        <w:rPr>
          <w:rFonts w:eastAsiaTheme="minorEastAsia"/>
          <w:b/>
          <w:sz w:val="22"/>
          <w:szCs w:val="22"/>
        </w:rPr>
        <w:t>the beginning</w:t>
      </w:r>
      <w:r w:rsidRPr="008D4091">
        <w:rPr>
          <w:rFonts w:eastAsiaTheme="minorEastAsia"/>
          <w:b/>
          <w:sz w:val="22"/>
          <w:szCs w:val="22"/>
        </w:rPr>
        <w:t xml:space="preserve"> of a COT. </w:t>
      </w:r>
    </w:p>
    <w:p w14:paraId="0AEE87F8" w14:textId="77777777" w:rsidR="00CD6D44" w:rsidRPr="00544130"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0638CF9B" w14:textId="6D37CB44" w:rsidR="009D6CB0" w:rsidRDefault="00571AD2" w:rsidP="00484F06">
      <w:pPr>
        <w:pStyle w:val="afd"/>
        <w:numPr>
          <w:ilvl w:val="0"/>
          <w:numId w:val="4"/>
        </w:numPr>
        <w:spacing w:afterLines="50" w:after="120"/>
        <w:ind w:leftChars="0"/>
        <w:jc w:val="both"/>
        <w:rPr>
          <w:rFonts w:eastAsia="ＭＳ 明朝"/>
          <w:sz w:val="22"/>
        </w:rPr>
      </w:pPr>
      <w:r w:rsidRPr="00571AD2">
        <w:rPr>
          <w:rFonts w:eastAsia="ＭＳ 明朝"/>
          <w:sz w:val="22"/>
        </w:rPr>
        <w:t>3GPP</w:t>
      </w:r>
      <w:r w:rsidR="00484F06">
        <w:rPr>
          <w:rFonts w:eastAsia="ＭＳ 明朝"/>
          <w:sz w:val="22"/>
        </w:rPr>
        <w:t>, RP-182878</w:t>
      </w:r>
      <w:r w:rsidR="00764120">
        <w:rPr>
          <w:rFonts w:eastAsia="ＭＳ 明朝"/>
          <w:sz w:val="22"/>
        </w:rPr>
        <w:t>, Qualcomm, “</w:t>
      </w:r>
      <w:r w:rsidR="00484F06" w:rsidRPr="00484F06">
        <w:rPr>
          <w:rFonts w:eastAsia="ＭＳ 明朝"/>
          <w:sz w:val="22"/>
        </w:rPr>
        <w:t>New WID on NR-based Access to Unlicensed Spectrum</w:t>
      </w:r>
      <w:r w:rsidR="00764120">
        <w:rPr>
          <w:rFonts w:eastAsia="ＭＳ 明朝"/>
          <w:sz w:val="22"/>
        </w:rPr>
        <w:t>,” Dec. 2018.</w:t>
      </w:r>
    </w:p>
    <w:p w14:paraId="7E8F8A7A" w14:textId="152E8457" w:rsidR="00141ABF" w:rsidRPr="00141ABF" w:rsidRDefault="00484F06" w:rsidP="00653559">
      <w:pPr>
        <w:pStyle w:val="afd"/>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sectPr w:rsidR="00141ABF" w:rsidRPr="00141AB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AB98E" w14:textId="77777777" w:rsidR="00A50641" w:rsidRDefault="00A50641">
      <w:r>
        <w:separator/>
      </w:r>
    </w:p>
  </w:endnote>
  <w:endnote w:type="continuationSeparator" w:id="0">
    <w:p w14:paraId="5BA8895E" w14:textId="77777777" w:rsidR="00A50641" w:rsidRDefault="00A50641">
      <w:r>
        <w:continuationSeparator/>
      </w:r>
    </w:p>
  </w:endnote>
  <w:endnote w:type="continuationNotice" w:id="1">
    <w:p w14:paraId="0FB196CB" w14:textId="77777777" w:rsidR="00A50641" w:rsidRDefault="00A50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86E3F9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D78BE">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D78B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40B35" w14:textId="77777777" w:rsidR="00A50641" w:rsidRDefault="00A50641">
      <w:r>
        <w:separator/>
      </w:r>
    </w:p>
  </w:footnote>
  <w:footnote w:type="continuationSeparator" w:id="0">
    <w:p w14:paraId="1A106E05" w14:textId="77777777" w:rsidR="00A50641" w:rsidRDefault="00A50641">
      <w:r>
        <w:continuationSeparator/>
      </w:r>
    </w:p>
  </w:footnote>
  <w:footnote w:type="continuationNotice" w:id="1">
    <w:p w14:paraId="17B0795A" w14:textId="77777777" w:rsidR="00A50641" w:rsidRDefault="00A5064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12"/>
  </w:num>
  <w:num w:numId="6">
    <w:abstractNumId w:val="6"/>
  </w:num>
  <w:num w:numId="7">
    <w:abstractNumId w:val="11"/>
  </w:num>
  <w:num w:numId="8">
    <w:abstractNumId w:val="1"/>
  </w:num>
  <w:num w:numId="9">
    <w:abstractNumId w:val="5"/>
  </w:num>
  <w:num w:numId="10">
    <w:abstractNumId w:val="3"/>
  </w:num>
  <w:num w:numId="11">
    <w:abstractNumId w:val="7"/>
  </w:num>
  <w:num w:numId="12">
    <w:abstractNumId w:val="10"/>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6ECD"/>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097"/>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80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5F"/>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89A"/>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0F"/>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E"/>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475"/>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1F4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D6"/>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2E9"/>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5E"/>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37"/>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284"/>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4EA8"/>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9E"/>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8BF"/>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5FD5"/>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DB"/>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1EA"/>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5F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BC9"/>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839"/>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641"/>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0E"/>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820"/>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0D6F"/>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6FD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775"/>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5C"/>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0F0E"/>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3F2"/>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8BE"/>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0"/>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165"/>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019"/>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0E8"/>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29"/>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A72"/>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BF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811DE"/>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af8">
    <w:name w:val="コメント文字列 (文字)"/>
    <w:basedOn w:val="a2"/>
    <w:link w:val="af7"/>
    <w:semiHidden/>
    <w:rsid w:val="00B3190E"/>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7B114-240A-4028-AFAB-E47CFB450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1600</Words>
  <Characters>9122</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5</cp:revision>
  <cp:lastPrinted>2017-08-09T04:40:00Z</cp:lastPrinted>
  <dcterms:created xsi:type="dcterms:W3CDTF">2019-01-12T03:09:00Z</dcterms:created>
  <dcterms:modified xsi:type="dcterms:W3CDTF">2019-01-12T03:27:00Z</dcterms:modified>
</cp:coreProperties>
</file>